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FB4E" w14:textId="40B1AC96" w:rsidR="00BB22D2" w:rsidRPr="001D772D" w:rsidRDefault="00BB22D2" w:rsidP="00BB22D2">
      <w:pPr>
        <w:spacing w:before="20" w:after="20" w:line="240" w:lineRule="atLeast"/>
        <w:jc w:val="center"/>
        <w:rPr>
          <w:b/>
          <w:color w:val="515254"/>
          <w:sz w:val="28"/>
          <w:szCs w:val="28"/>
        </w:rPr>
      </w:pPr>
      <w:r w:rsidRPr="001D772D">
        <w:rPr>
          <w:b/>
          <w:color w:val="515254"/>
          <w:sz w:val="28"/>
          <w:szCs w:val="28"/>
        </w:rPr>
        <w:t xml:space="preserve">Accounting statement </w:t>
      </w:r>
      <w:r w:rsidR="008A1DF5">
        <w:rPr>
          <w:b/>
          <w:color w:val="515254"/>
          <w:sz w:val="28"/>
          <w:szCs w:val="28"/>
        </w:rPr>
        <w:t>2024</w:t>
      </w:r>
      <w:r w:rsidR="001D772D" w:rsidRPr="001D772D">
        <w:rPr>
          <w:b/>
          <w:color w:val="515254"/>
          <w:sz w:val="28"/>
          <w:szCs w:val="28"/>
        </w:rPr>
        <w:t>-2</w:t>
      </w:r>
      <w:r w:rsidR="007D5BCB">
        <w:rPr>
          <w:b/>
          <w:color w:val="515254"/>
          <w:sz w:val="28"/>
          <w:szCs w:val="28"/>
        </w:rPr>
        <w:t>5</w:t>
      </w:r>
      <w:r w:rsidRPr="001D772D">
        <w:rPr>
          <w:b/>
          <w:color w:val="515254"/>
          <w:sz w:val="28"/>
          <w:szCs w:val="28"/>
        </w:rPr>
        <w:t xml:space="preserve"> for: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8801"/>
      </w:tblGrid>
      <w:tr w:rsidR="001D772D" w:rsidRPr="001D772D" w14:paraId="36BBB608" w14:textId="77777777" w:rsidTr="00907882">
        <w:trPr>
          <w:trHeight w:val="112"/>
        </w:trPr>
        <w:tc>
          <w:tcPr>
            <w:tcW w:w="1655" w:type="dxa"/>
            <w:tcBorders>
              <w:right w:val="single" w:sz="8" w:space="0" w:color="BFBFBF"/>
            </w:tcBorders>
          </w:tcPr>
          <w:p w14:paraId="10265F59" w14:textId="77777777" w:rsidR="00BB22D2" w:rsidRPr="001D772D" w:rsidRDefault="00BB22D2" w:rsidP="00BA6A16">
            <w:pPr>
              <w:pStyle w:val="Heading3"/>
              <w:spacing w:before="60" w:after="60" w:line="240" w:lineRule="atLeast"/>
              <w:rPr>
                <w:rFonts w:cs="Arial"/>
                <w:b/>
                <w:color w:val="515254"/>
                <w:sz w:val="20"/>
                <w:szCs w:val="20"/>
              </w:rPr>
            </w:pPr>
            <w:r w:rsidRPr="001D772D">
              <w:rPr>
                <w:rFonts w:cs="Arial"/>
                <w:b/>
                <w:color w:val="515254"/>
                <w:sz w:val="20"/>
                <w:szCs w:val="20"/>
              </w:rPr>
              <w:t>Name of body:</w:t>
            </w:r>
          </w:p>
        </w:tc>
        <w:tc>
          <w:tcPr>
            <w:tcW w:w="880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</w:tcPr>
          <w:p w14:paraId="2B249D85" w14:textId="61590887" w:rsidR="00BB22D2" w:rsidRPr="001D772D" w:rsidRDefault="00F34E42" w:rsidP="00BA6A16">
            <w:pPr>
              <w:pStyle w:val="Heading3"/>
              <w:spacing w:before="60" w:after="60" w:line="240" w:lineRule="atLeast"/>
              <w:rPr>
                <w:rFonts w:cs="Arial"/>
                <w:b/>
                <w:noProof/>
                <w:color w:val="515254"/>
                <w:sz w:val="20"/>
                <w:szCs w:val="20"/>
              </w:rPr>
            </w:pPr>
            <w:r>
              <w:rPr>
                <w:rFonts w:cs="Arial"/>
                <w:b/>
                <w:noProof/>
                <w:color w:val="515254"/>
                <w:sz w:val="20"/>
                <w:szCs w:val="20"/>
              </w:rPr>
              <w:t>C</w:t>
            </w:r>
            <w:r w:rsidR="001E1473">
              <w:rPr>
                <w:rFonts w:cs="Arial"/>
                <w:b/>
                <w:noProof/>
                <w:color w:val="515254"/>
                <w:sz w:val="20"/>
                <w:szCs w:val="20"/>
              </w:rPr>
              <w:t xml:space="preserve">yngor </w:t>
            </w:r>
            <w:r>
              <w:rPr>
                <w:rFonts w:cs="Arial"/>
                <w:b/>
                <w:noProof/>
                <w:color w:val="515254"/>
                <w:sz w:val="20"/>
                <w:szCs w:val="20"/>
              </w:rPr>
              <w:t>C</w:t>
            </w:r>
            <w:r w:rsidR="001E1473">
              <w:rPr>
                <w:rFonts w:cs="Arial"/>
                <w:b/>
                <w:noProof/>
                <w:color w:val="515254"/>
                <w:sz w:val="20"/>
                <w:szCs w:val="20"/>
              </w:rPr>
              <w:t>ymuned</w:t>
            </w:r>
            <w:r>
              <w:rPr>
                <w:rFonts w:cs="Arial"/>
                <w:b/>
                <w:noProof/>
                <w:color w:val="515254"/>
                <w:sz w:val="20"/>
                <w:szCs w:val="20"/>
              </w:rPr>
              <w:t xml:space="preserve"> Blaenrheidol C</w:t>
            </w:r>
            <w:r w:rsidR="001E1473">
              <w:rPr>
                <w:rFonts w:cs="Arial"/>
                <w:b/>
                <w:noProof/>
                <w:color w:val="515254"/>
                <w:sz w:val="20"/>
                <w:szCs w:val="20"/>
              </w:rPr>
              <w:t xml:space="preserve">ommunity </w:t>
            </w:r>
            <w:r>
              <w:rPr>
                <w:rFonts w:cs="Arial"/>
                <w:b/>
                <w:noProof/>
                <w:color w:val="515254"/>
                <w:sz w:val="20"/>
                <w:szCs w:val="20"/>
              </w:rPr>
              <w:t>C</w:t>
            </w:r>
            <w:r w:rsidR="001E1473">
              <w:rPr>
                <w:rFonts w:cs="Arial"/>
                <w:b/>
                <w:noProof/>
                <w:color w:val="515254"/>
                <w:sz w:val="20"/>
                <w:szCs w:val="20"/>
              </w:rPr>
              <w:t>ouncil</w:t>
            </w:r>
          </w:p>
        </w:tc>
      </w:tr>
    </w:tbl>
    <w:p w14:paraId="5A432C05" w14:textId="77777777" w:rsidR="00BB22D2" w:rsidRDefault="00BB22D2" w:rsidP="00BB22D2"/>
    <w:tbl>
      <w:tblPr>
        <w:tblW w:w="10915" w:type="dxa"/>
        <w:tblInd w:w="-152" w:type="dxa"/>
        <w:tblBorders>
          <w:top w:val="single" w:sz="8" w:space="0" w:color="F4633A"/>
          <w:left w:val="single" w:sz="8" w:space="0" w:color="F4633A"/>
          <w:bottom w:val="single" w:sz="8" w:space="0" w:color="F4633A"/>
          <w:right w:val="single" w:sz="8" w:space="0" w:color="F4633A"/>
          <w:insideH w:val="single" w:sz="8" w:space="0" w:color="F4633A"/>
          <w:insideV w:val="single" w:sz="8" w:space="0" w:color="F4633A"/>
        </w:tblBorders>
        <w:shd w:val="clear" w:color="auto" w:fill="FFFFFF"/>
        <w:tblLook w:val="01E0" w:firstRow="1" w:lastRow="1" w:firstColumn="1" w:lastColumn="1" w:noHBand="0" w:noVBand="0"/>
      </w:tblPr>
      <w:tblGrid>
        <w:gridCol w:w="2088"/>
        <w:gridCol w:w="1652"/>
        <w:gridCol w:w="1624"/>
        <w:gridCol w:w="5551"/>
      </w:tblGrid>
      <w:tr w:rsidR="00BB22D2" w:rsidRPr="00681DA1" w14:paraId="676B5AE7" w14:textId="77777777" w:rsidTr="00907882">
        <w:trPr>
          <w:trHeight w:val="20"/>
        </w:trPr>
        <w:tc>
          <w:tcPr>
            <w:tcW w:w="2088" w:type="dxa"/>
            <w:vMerge w:val="restart"/>
            <w:shd w:val="clear" w:color="auto" w:fill="F2F2F2" w:themeFill="background1" w:themeFillShade="F2"/>
          </w:tcPr>
          <w:p w14:paraId="5DFC90DC" w14:textId="77777777" w:rsidR="00BB22D2" w:rsidRPr="00FC7BA2" w:rsidRDefault="00BB22D2" w:rsidP="00BA6A16">
            <w:pPr>
              <w:spacing w:before="40" w:after="40" w:line="240" w:lineRule="atLeast"/>
              <w:jc w:val="both"/>
              <w:rPr>
                <w:rFonts w:cs="Arial"/>
                <w:b/>
                <w:bCs/>
                <w:color w:val="515254"/>
                <w:sz w:val="18"/>
                <w:szCs w:val="18"/>
              </w:rPr>
            </w:pPr>
          </w:p>
        </w:tc>
        <w:tc>
          <w:tcPr>
            <w:tcW w:w="3276" w:type="dxa"/>
            <w:gridSpan w:val="2"/>
            <w:shd w:val="clear" w:color="auto" w:fill="F2F2F2" w:themeFill="background1" w:themeFillShade="F2"/>
          </w:tcPr>
          <w:p w14:paraId="3D4E27FB" w14:textId="77777777" w:rsidR="00BB22D2" w:rsidRPr="00FC7BA2" w:rsidRDefault="00BB22D2" w:rsidP="00BA6A16">
            <w:pPr>
              <w:spacing w:before="40" w:after="40" w:line="240" w:lineRule="atLeast"/>
              <w:jc w:val="center"/>
              <w:rPr>
                <w:rFonts w:cs="Arial"/>
                <w:b/>
                <w:bCs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bCs/>
                <w:color w:val="515254"/>
                <w:sz w:val="18"/>
                <w:szCs w:val="18"/>
              </w:rPr>
              <w:t>Year ending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7A609CC6" w14:textId="13AB64D2" w:rsidR="00BB22D2" w:rsidRPr="00FC7BA2" w:rsidRDefault="00BB22D2" w:rsidP="00BA6A16">
            <w:pPr>
              <w:spacing w:before="40" w:after="40" w:line="240" w:lineRule="atLeast"/>
              <w:jc w:val="both"/>
              <w:rPr>
                <w:rFonts w:cs="Arial"/>
                <w:b/>
                <w:bCs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bCs/>
                <w:color w:val="515254"/>
                <w:sz w:val="18"/>
                <w:szCs w:val="18"/>
              </w:rPr>
              <w:t xml:space="preserve">Notes and guidance </w:t>
            </w:r>
          </w:p>
        </w:tc>
      </w:tr>
      <w:tr w:rsidR="00BB22D2" w:rsidRPr="00681DA1" w14:paraId="40726217" w14:textId="77777777" w:rsidTr="00907882">
        <w:trPr>
          <w:trHeight w:val="306"/>
        </w:trPr>
        <w:tc>
          <w:tcPr>
            <w:tcW w:w="2088" w:type="dxa"/>
            <w:vMerge/>
            <w:shd w:val="clear" w:color="auto" w:fill="F2F2F2" w:themeFill="background1" w:themeFillShade="F2"/>
          </w:tcPr>
          <w:p w14:paraId="1C8B3D3E" w14:textId="77777777" w:rsidR="00BB22D2" w:rsidRPr="00FC7BA2" w:rsidRDefault="00BB22D2" w:rsidP="00BA6A16">
            <w:pPr>
              <w:spacing w:before="40" w:after="40" w:line="240" w:lineRule="atLeast"/>
              <w:jc w:val="both"/>
              <w:rPr>
                <w:rFonts w:cs="Arial"/>
                <w:b/>
                <w:bCs/>
                <w:color w:val="515254"/>
                <w:sz w:val="18"/>
                <w:szCs w:val="18"/>
              </w:rPr>
            </w:pPr>
          </w:p>
        </w:tc>
        <w:tc>
          <w:tcPr>
            <w:tcW w:w="1652" w:type="dxa"/>
            <w:shd w:val="clear" w:color="auto" w:fill="F2F2F2" w:themeFill="background1" w:themeFillShade="F2"/>
          </w:tcPr>
          <w:p w14:paraId="24B92787" w14:textId="5B7C54CC" w:rsidR="00BB22D2" w:rsidRPr="00FC7BA2" w:rsidRDefault="00BB22D2" w:rsidP="00BA6A16">
            <w:pPr>
              <w:spacing w:before="40" w:after="40" w:line="240" w:lineRule="atLeast"/>
              <w:jc w:val="center"/>
              <w:rPr>
                <w:rFonts w:cs="Arial"/>
                <w:b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t>31 March</w:t>
            </w: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br/>
            </w:r>
            <w:r w:rsidR="008A1DF5">
              <w:rPr>
                <w:rFonts w:cs="Arial"/>
                <w:b/>
                <w:color w:val="515254"/>
                <w:sz w:val="18"/>
                <w:szCs w:val="18"/>
              </w:rPr>
              <w:t>2024</w:t>
            </w:r>
          </w:p>
          <w:p w14:paraId="6E2E1BC4" w14:textId="77777777" w:rsidR="00BB22D2" w:rsidRPr="00FC7BA2" w:rsidRDefault="00BB22D2" w:rsidP="00BA6A16">
            <w:pPr>
              <w:spacing w:before="40" w:after="40" w:line="240" w:lineRule="atLeast"/>
              <w:jc w:val="center"/>
              <w:rPr>
                <w:rFonts w:cs="Arial"/>
                <w:b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t>(£)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79EC111B" w14:textId="79C35886" w:rsidR="00BB22D2" w:rsidRPr="00FC7BA2" w:rsidRDefault="00BB22D2" w:rsidP="00BA6A16">
            <w:pPr>
              <w:spacing w:before="40" w:after="40" w:line="240" w:lineRule="atLeast"/>
              <w:jc w:val="center"/>
              <w:rPr>
                <w:rFonts w:cs="Arial"/>
                <w:b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t>31 March</w:t>
            </w: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br/>
            </w:r>
            <w:r w:rsidR="008A1DF5">
              <w:rPr>
                <w:rFonts w:cs="Arial"/>
                <w:b/>
                <w:color w:val="515254"/>
                <w:sz w:val="18"/>
                <w:szCs w:val="18"/>
              </w:rPr>
              <w:t>2025</w:t>
            </w:r>
          </w:p>
          <w:p w14:paraId="70593004" w14:textId="77777777" w:rsidR="00BB22D2" w:rsidRPr="00FC7BA2" w:rsidRDefault="00BB22D2" w:rsidP="00BA6A16">
            <w:pPr>
              <w:spacing w:before="40" w:after="40" w:line="240" w:lineRule="atLeast"/>
              <w:jc w:val="center"/>
              <w:rPr>
                <w:rFonts w:cs="Arial"/>
                <w:b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t>(£)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2894095C" w14:textId="77777777" w:rsidR="00BB22D2" w:rsidRPr="00FC7BA2" w:rsidRDefault="00BB22D2" w:rsidP="00BA6A16">
            <w:pPr>
              <w:spacing w:before="40" w:after="40" w:line="240" w:lineRule="atLeast"/>
              <w:rPr>
                <w:rFonts w:cs="Arial"/>
                <w:b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t xml:space="preserve">Please round all figures to nearest £. </w:t>
            </w:r>
          </w:p>
          <w:p w14:paraId="5237C44B" w14:textId="77777777" w:rsidR="00BB22D2" w:rsidRPr="00FC7BA2" w:rsidRDefault="00BB22D2" w:rsidP="00BA6A16">
            <w:pPr>
              <w:spacing w:before="40" w:after="40" w:line="240" w:lineRule="atLeast"/>
              <w:rPr>
                <w:rFonts w:cs="Arial"/>
                <w:b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color w:val="515254"/>
                <w:sz w:val="18"/>
                <w:szCs w:val="18"/>
              </w:rPr>
              <w:t>Do not leave any boxes blank and report £0 or nil balances. All figures must agree to the underlying financial records for the relevant year.</w:t>
            </w:r>
          </w:p>
        </w:tc>
      </w:tr>
      <w:tr w:rsidR="00BB22D2" w:rsidRPr="00B608AC" w14:paraId="02DBBB96" w14:textId="77777777" w:rsidTr="00907882">
        <w:trPr>
          <w:trHeight w:val="20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7F29D4F5" w14:textId="77777777" w:rsidR="00BB22D2" w:rsidRPr="00FC7BA2" w:rsidRDefault="00BB22D2" w:rsidP="00F82EE9">
            <w:pPr>
              <w:pStyle w:val="Tableheading"/>
              <w:spacing w:beforeLines="40" w:before="96" w:afterLines="40" w:after="96" w:line="240" w:lineRule="auto"/>
              <w:rPr>
                <w:rFonts w:cs="Arial"/>
                <w:color w:val="515254"/>
                <w:szCs w:val="18"/>
              </w:rPr>
            </w:pPr>
            <w:r w:rsidRPr="00FC7BA2">
              <w:rPr>
                <w:rFonts w:cs="Arial"/>
                <w:color w:val="515254"/>
                <w:szCs w:val="18"/>
              </w:rPr>
              <w:t>Statement of income and expenditure/receipts and payments</w:t>
            </w:r>
          </w:p>
        </w:tc>
      </w:tr>
      <w:tr w:rsidR="00BB22D2" w:rsidRPr="00681DA1" w14:paraId="3BB97C0A" w14:textId="77777777" w:rsidTr="00907882">
        <w:trPr>
          <w:trHeight w:val="20"/>
        </w:trPr>
        <w:tc>
          <w:tcPr>
            <w:tcW w:w="2088" w:type="dxa"/>
            <w:shd w:val="clear" w:color="auto" w:fill="F2F2F2" w:themeFill="background1" w:themeFillShade="F2"/>
          </w:tcPr>
          <w:p w14:paraId="42B81147" w14:textId="77777777" w:rsidR="00BB22D2" w:rsidRPr="00FC7BA2" w:rsidRDefault="00BB22D2" w:rsidP="00F82EE9">
            <w:pPr>
              <w:numPr>
                <w:ilvl w:val="0"/>
                <w:numId w:val="16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Balances brought forward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2A7BBBF2" w14:textId="7CF31BAD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3401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67E5F3A6" w14:textId="4DCF8A53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3351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7BC1251B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balances and reserves at the beginning of the year as recorded in the financial records. Must agree to line 7 of the previous year.</w:t>
            </w:r>
          </w:p>
        </w:tc>
      </w:tr>
      <w:tr w:rsidR="00BB22D2" w:rsidRPr="00681DA1" w14:paraId="7AFD2DBC" w14:textId="77777777" w:rsidTr="00907882">
        <w:trPr>
          <w:trHeight w:val="20"/>
        </w:trPr>
        <w:tc>
          <w:tcPr>
            <w:tcW w:w="2088" w:type="dxa"/>
            <w:shd w:val="clear" w:color="auto" w:fill="F2F2F2" w:themeFill="background1" w:themeFillShade="F2"/>
          </w:tcPr>
          <w:p w14:paraId="55D84F97" w14:textId="52D8CEF2" w:rsidR="00BB22D2" w:rsidRPr="00FC7BA2" w:rsidRDefault="00BB22D2" w:rsidP="00F82EE9">
            <w:pPr>
              <w:numPr>
                <w:ilvl w:val="0"/>
                <w:numId w:val="16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(+) Income from local taxation/levy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66724A64" w14:textId="55BEEEBB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4525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499CC5CE" w14:textId="0510336B" w:rsidR="00BB22D2" w:rsidRPr="00FC7BA2" w:rsidRDefault="00B30AC1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4706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1E5D43C2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amount of income received/receivable in the year from local taxation (precept) or levy/contribution from principal bodies.</w:t>
            </w:r>
          </w:p>
        </w:tc>
      </w:tr>
      <w:tr w:rsidR="00BB22D2" w:rsidRPr="00681DA1" w14:paraId="1CDE1E59" w14:textId="77777777" w:rsidTr="00907882">
        <w:trPr>
          <w:trHeight w:val="288"/>
        </w:trPr>
        <w:tc>
          <w:tcPr>
            <w:tcW w:w="2088" w:type="dxa"/>
            <w:shd w:val="clear" w:color="auto" w:fill="F2F2F2" w:themeFill="background1" w:themeFillShade="F2"/>
          </w:tcPr>
          <w:p w14:paraId="5DD07158" w14:textId="77777777" w:rsidR="00BB22D2" w:rsidRPr="00FC7BA2" w:rsidRDefault="00BB22D2" w:rsidP="00F82EE9">
            <w:pPr>
              <w:numPr>
                <w:ilvl w:val="0"/>
                <w:numId w:val="16"/>
              </w:numPr>
              <w:tabs>
                <w:tab w:val="clear" w:pos="720"/>
                <w:tab w:val="num" w:pos="318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(+) Total other receipts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2099141D" w14:textId="667CCA6D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32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2BA55987" w14:textId="59C4FFCA" w:rsidR="00BB22D2" w:rsidRPr="00FC7BA2" w:rsidRDefault="00B30AC1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366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01686457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income or receipts recorded in the cashbook minus amounts included in line 2. Includes support, discretionary and revenue grants.</w:t>
            </w:r>
          </w:p>
        </w:tc>
      </w:tr>
      <w:tr w:rsidR="00BB22D2" w:rsidRPr="00681DA1" w14:paraId="65BAFAF2" w14:textId="77777777" w:rsidTr="00907882">
        <w:trPr>
          <w:trHeight w:val="98"/>
        </w:trPr>
        <w:tc>
          <w:tcPr>
            <w:tcW w:w="2088" w:type="dxa"/>
            <w:shd w:val="clear" w:color="auto" w:fill="F2F2F2" w:themeFill="background1" w:themeFillShade="F2"/>
          </w:tcPr>
          <w:p w14:paraId="103EED6A" w14:textId="77777777" w:rsidR="00BB22D2" w:rsidRPr="00FC7BA2" w:rsidRDefault="00BB22D2" w:rsidP="00F82EE9">
            <w:pPr>
              <w:numPr>
                <w:ilvl w:val="0"/>
                <w:numId w:val="16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(-) Staff costs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5926B983" w14:textId="2A728AB7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1083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3DA7A90D" w14:textId="08886B48" w:rsidR="00BB22D2" w:rsidRPr="00FC7BA2" w:rsidRDefault="00B30AC1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640D1A68" w14:textId="1482BF4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expenditure or payments made to and on behalf of all employees. Include salaries and wages,</w:t>
            </w:r>
            <w:r w:rsidR="003E0E14" w:rsidRPr="00FC7BA2">
              <w:rPr>
                <w:rFonts w:cs="Arial"/>
                <w:color w:val="515254"/>
                <w:sz w:val="18"/>
                <w:szCs w:val="18"/>
              </w:rPr>
              <w:t xml:space="preserve"> taxable allowances</w:t>
            </w:r>
            <w:r w:rsidR="00C63537" w:rsidRPr="00FC7BA2">
              <w:rPr>
                <w:rFonts w:cs="Arial"/>
                <w:color w:val="515254"/>
                <w:sz w:val="18"/>
                <w:szCs w:val="18"/>
              </w:rPr>
              <w:t>,</w:t>
            </w: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 PAYE and NI (employees and employers), pension contributions and termination costs.</w:t>
            </w:r>
            <w:r w:rsidR="00096FAB" w:rsidRPr="00FC7BA2">
              <w:rPr>
                <w:rFonts w:cs="Arial"/>
                <w:color w:val="515254"/>
                <w:sz w:val="18"/>
                <w:szCs w:val="18"/>
              </w:rPr>
              <w:t xml:space="preserve"> Exclude reimbursement of out</w:t>
            </w:r>
            <w:r w:rsidR="00F510FA" w:rsidRPr="00FC7BA2">
              <w:rPr>
                <w:rFonts w:cs="Arial"/>
                <w:color w:val="515254"/>
                <w:sz w:val="18"/>
                <w:szCs w:val="18"/>
              </w:rPr>
              <w:t>-</w:t>
            </w:r>
            <w:r w:rsidR="00096FAB" w:rsidRPr="00FC7BA2">
              <w:rPr>
                <w:rFonts w:cs="Arial"/>
                <w:color w:val="515254"/>
                <w:sz w:val="18"/>
                <w:szCs w:val="18"/>
              </w:rPr>
              <w:t>of</w:t>
            </w:r>
            <w:r w:rsidR="00F510FA" w:rsidRPr="00FC7BA2">
              <w:rPr>
                <w:rFonts w:cs="Arial"/>
                <w:color w:val="515254"/>
                <w:sz w:val="18"/>
                <w:szCs w:val="18"/>
              </w:rPr>
              <w:t>-</w:t>
            </w:r>
            <w:r w:rsidR="00096FAB" w:rsidRPr="00FC7BA2">
              <w:rPr>
                <w:rFonts w:cs="Arial"/>
                <w:color w:val="515254"/>
                <w:sz w:val="18"/>
                <w:szCs w:val="18"/>
              </w:rPr>
              <w:t>pocket expenses</w:t>
            </w:r>
            <w:r w:rsidR="001048B0" w:rsidRPr="00FC7BA2">
              <w:rPr>
                <w:rFonts w:cs="Arial"/>
                <w:color w:val="515254"/>
                <w:sz w:val="18"/>
                <w:szCs w:val="18"/>
              </w:rPr>
              <w:t>.</w:t>
            </w:r>
            <w:r w:rsidR="00096FAB" w:rsidRPr="00FC7BA2">
              <w:rPr>
                <w:rFonts w:cs="Arial"/>
                <w:color w:val="515254"/>
                <w:sz w:val="18"/>
                <w:szCs w:val="18"/>
              </w:rPr>
              <w:t xml:space="preserve"> </w:t>
            </w:r>
          </w:p>
        </w:tc>
      </w:tr>
      <w:tr w:rsidR="00BB22D2" w:rsidRPr="00681DA1" w14:paraId="1925EF95" w14:textId="77777777" w:rsidTr="00907882">
        <w:trPr>
          <w:trHeight w:val="97"/>
        </w:trPr>
        <w:tc>
          <w:tcPr>
            <w:tcW w:w="2088" w:type="dxa"/>
            <w:shd w:val="clear" w:color="auto" w:fill="F2F2F2" w:themeFill="background1" w:themeFillShade="F2"/>
          </w:tcPr>
          <w:p w14:paraId="5139F6B8" w14:textId="77777777" w:rsidR="00BB22D2" w:rsidRPr="00FC7BA2" w:rsidRDefault="00BB22D2" w:rsidP="00F82EE9">
            <w:pPr>
              <w:numPr>
                <w:ilvl w:val="0"/>
                <w:numId w:val="16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(-) Loan </w:t>
            </w:r>
            <w:r w:rsidRPr="00FC7BA2">
              <w:rPr>
                <w:rFonts w:cs="Arial"/>
                <w:color w:val="515254"/>
                <w:sz w:val="18"/>
                <w:szCs w:val="18"/>
              </w:rPr>
              <w:br/>
              <w:t>interest/capital repayments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37BAE4C2" w14:textId="074060AE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17E6C03E" w14:textId="75456E72" w:rsidR="00BB22D2" w:rsidRPr="00FC7BA2" w:rsidRDefault="00B30AC1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0A69D53B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expenditure or payments of capital and interest made during the year on external borrowing (if any).</w:t>
            </w:r>
          </w:p>
        </w:tc>
      </w:tr>
      <w:tr w:rsidR="00BB22D2" w:rsidRPr="00681DA1" w14:paraId="5BA74620" w14:textId="77777777" w:rsidTr="00907882">
        <w:trPr>
          <w:trHeight w:val="66"/>
        </w:trPr>
        <w:tc>
          <w:tcPr>
            <w:tcW w:w="2088" w:type="dxa"/>
            <w:shd w:val="clear" w:color="auto" w:fill="F2F2F2" w:themeFill="background1" w:themeFillShade="F2"/>
          </w:tcPr>
          <w:p w14:paraId="5F64F4FA" w14:textId="77777777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(-) Total other payments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3F171075" w14:textId="350CA802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3524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72DF3915" w14:textId="18B8F7F4" w:rsidR="00BB22D2" w:rsidRPr="00FC7BA2" w:rsidRDefault="00B30AC1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347</w:t>
            </w:r>
            <w:r w:rsidR="00AC62E3">
              <w:rPr>
                <w:rFonts w:cs="Arial"/>
                <w:color w:val="515254"/>
                <w:sz w:val="18"/>
                <w:szCs w:val="18"/>
              </w:rPr>
              <w:t>5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789DE000" w14:textId="668C7335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expenditure or payments as recorded in the cashbook minus staff costs (line 4) and loan interest/capital repayments (line 5).</w:t>
            </w:r>
          </w:p>
        </w:tc>
      </w:tr>
      <w:tr w:rsidR="00BB22D2" w:rsidRPr="00681DA1" w14:paraId="54EC1912" w14:textId="77777777" w:rsidTr="00907882">
        <w:trPr>
          <w:trHeight w:val="20"/>
        </w:trPr>
        <w:tc>
          <w:tcPr>
            <w:tcW w:w="2088" w:type="dxa"/>
            <w:shd w:val="clear" w:color="auto" w:fill="F2F2F2" w:themeFill="background1" w:themeFillShade="F2"/>
          </w:tcPr>
          <w:p w14:paraId="3B3A29A5" w14:textId="77777777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(=) Balances carried forward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415C679F" w14:textId="5310009E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3351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11001FF2" w14:textId="7D6F7D1E" w:rsidR="00BB22D2" w:rsidRPr="00FC7BA2" w:rsidRDefault="00AC62E3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4948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4CD650F1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balances and reserves at the end of the year. Must equal (1+2+3) – (4+5+6).</w:t>
            </w:r>
          </w:p>
        </w:tc>
      </w:tr>
      <w:tr w:rsidR="00BB22D2" w:rsidRPr="00955593" w14:paraId="6520CC96" w14:textId="77777777" w:rsidTr="00907882">
        <w:trPr>
          <w:trHeight w:val="20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08ABA7C" w14:textId="678E4134" w:rsidR="00BB22D2" w:rsidRPr="00FC7BA2" w:rsidRDefault="00BB22D2" w:rsidP="00F82EE9">
            <w:pPr>
              <w:pStyle w:val="Tableheading"/>
              <w:spacing w:beforeLines="40" w:before="96" w:afterLines="40" w:after="96" w:line="240" w:lineRule="auto"/>
              <w:rPr>
                <w:rFonts w:cs="Arial"/>
                <w:color w:val="515254"/>
                <w:szCs w:val="18"/>
              </w:rPr>
            </w:pPr>
            <w:r w:rsidRPr="00FC7BA2">
              <w:rPr>
                <w:rFonts w:cs="Arial"/>
                <w:color w:val="515254"/>
                <w:szCs w:val="18"/>
              </w:rPr>
              <w:t>Statement of balances</w:t>
            </w:r>
            <w:r w:rsidR="00151394">
              <w:rPr>
                <w:rFonts w:cs="Arial"/>
                <w:color w:val="515254"/>
                <w:szCs w:val="18"/>
              </w:rPr>
              <w:t>0</w:t>
            </w:r>
          </w:p>
        </w:tc>
      </w:tr>
      <w:tr w:rsidR="00BB22D2" w:rsidRPr="00681DA1" w14:paraId="08A3FDA3" w14:textId="77777777" w:rsidTr="00907882">
        <w:trPr>
          <w:trHeight w:val="20"/>
        </w:trPr>
        <w:tc>
          <w:tcPr>
            <w:tcW w:w="2088" w:type="dxa"/>
            <w:shd w:val="clear" w:color="auto" w:fill="F2F2F2" w:themeFill="background1" w:themeFillShade="F2"/>
          </w:tcPr>
          <w:p w14:paraId="36557069" w14:textId="77777777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(+) Debtors 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06C629E4" w14:textId="27F47C3A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7B41B6B6" w14:textId="0EE7BDFF" w:rsidR="00BB22D2" w:rsidRPr="00FC7BA2" w:rsidRDefault="009D5DD5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230B6EBD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bCs/>
                <w:color w:val="515254"/>
                <w:sz w:val="18"/>
                <w:szCs w:val="18"/>
              </w:rPr>
              <w:t>Income and expenditure accounts only:</w:t>
            </w: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 Enter the value of debts owed to the body at the year-end.</w:t>
            </w:r>
          </w:p>
        </w:tc>
      </w:tr>
      <w:tr w:rsidR="00BB22D2" w:rsidRPr="00681DA1" w14:paraId="351D4F89" w14:textId="77777777" w:rsidTr="00907882">
        <w:trPr>
          <w:trHeight w:val="20"/>
        </w:trPr>
        <w:tc>
          <w:tcPr>
            <w:tcW w:w="2088" w:type="dxa"/>
            <w:shd w:val="clear" w:color="auto" w:fill="F2F2F2" w:themeFill="background1" w:themeFillShade="F2"/>
          </w:tcPr>
          <w:p w14:paraId="164619CE" w14:textId="62880A61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(+) Total cash and investments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1A58A12C" w14:textId="11249743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4507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552BC457" w14:textId="7C5E462B" w:rsidR="00BB22D2" w:rsidRPr="00FC7BA2" w:rsidRDefault="009D5DD5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4948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0B180FA8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bCs/>
                <w:color w:val="515254"/>
                <w:sz w:val="18"/>
                <w:szCs w:val="18"/>
              </w:rPr>
              <w:t>All accounts:</w:t>
            </w: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 The sum of all current and deposit bank accounts, cash holdings and investments held </w:t>
            </w:r>
            <w:proofErr w:type="gramStart"/>
            <w:r w:rsidRPr="00FC7BA2">
              <w:rPr>
                <w:rFonts w:cs="Arial"/>
                <w:color w:val="515254"/>
                <w:sz w:val="18"/>
                <w:szCs w:val="18"/>
              </w:rPr>
              <w:t>at</w:t>
            </w:r>
            <w:proofErr w:type="gramEnd"/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 31 March. This must </w:t>
            </w:r>
            <w:r w:rsidRPr="00FC7BA2">
              <w:rPr>
                <w:rFonts w:cs="Arial"/>
                <w:color w:val="515254"/>
                <w:sz w:val="18"/>
                <w:szCs w:val="18"/>
              </w:rPr>
              <w:br/>
              <w:t>agree with the reconciled cashbook balance as per the bank reconciliation.</w:t>
            </w:r>
          </w:p>
        </w:tc>
      </w:tr>
      <w:tr w:rsidR="00BB22D2" w:rsidRPr="00681DA1" w14:paraId="5A05E250" w14:textId="77777777" w:rsidTr="00907882">
        <w:trPr>
          <w:trHeight w:val="20"/>
        </w:trPr>
        <w:tc>
          <w:tcPr>
            <w:tcW w:w="2088" w:type="dxa"/>
            <w:shd w:val="clear" w:color="auto" w:fill="F2F2F2" w:themeFill="background1" w:themeFillShade="F2"/>
          </w:tcPr>
          <w:p w14:paraId="40811AC1" w14:textId="77777777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(-) Creditors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33EC2BBD" w14:textId="3F5083C2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1156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0656D265" w14:textId="6B70A252" w:rsidR="00BB22D2" w:rsidRPr="00FC7BA2" w:rsidRDefault="009D5DD5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4BD23346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bCs/>
                <w:color w:val="515254"/>
                <w:sz w:val="18"/>
                <w:szCs w:val="18"/>
              </w:rPr>
              <w:t>Income and expenditure accounts only:</w:t>
            </w: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 Enter the value of monies owed by the body (except borrowing) at the year-end.</w:t>
            </w:r>
          </w:p>
        </w:tc>
      </w:tr>
      <w:tr w:rsidR="00BB22D2" w:rsidRPr="00681DA1" w14:paraId="617D83D4" w14:textId="77777777" w:rsidTr="00907882">
        <w:trPr>
          <w:trHeight w:val="189"/>
        </w:trPr>
        <w:tc>
          <w:tcPr>
            <w:tcW w:w="2088" w:type="dxa"/>
            <w:shd w:val="clear" w:color="auto" w:fill="F2F2F2" w:themeFill="background1" w:themeFillShade="F2"/>
          </w:tcPr>
          <w:p w14:paraId="2EC807C2" w14:textId="77777777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(=) Balances carried forward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4ADE5825" w14:textId="265C14F1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3351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4EE865E6" w14:textId="4D588E8F" w:rsidR="00BB22D2" w:rsidRPr="00FC7BA2" w:rsidRDefault="009D5DD5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4948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4499F5F5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b/>
                <w:bCs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b/>
                <w:bCs/>
                <w:color w:val="515254"/>
                <w:sz w:val="18"/>
                <w:szCs w:val="18"/>
              </w:rPr>
              <w:t xml:space="preserve">Total balances should equal line 7 above: </w:t>
            </w:r>
            <w:r w:rsidRPr="00FC7BA2">
              <w:rPr>
                <w:rFonts w:cs="Arial"/>
                <w:bCs/>
                <w:color w:val="515254"/>
                <w:sz w:val="18"/>
                <w:szCs w:val="18"/>
              </w:rPr>
              <w:t>Enter the total of (8+9-10).</w:t>
            </w:r>
          </w:p>
        </w:tc>
      </w:tr>
      <w:tr w:rsidR="00BB22D2" w:rsidRPr="00681DA1" w14:paraId="6BD3BA77" w14:textId="77777777" w:rsidTr="00907882">
        <w:trPr>
          <w:trHeight w:val="410"/>
        </w:trPr>
        <w:tc>
          <w:tcPr>
            <w:tcW w:w="2088" w:type="dxa"/>
            <w:shd w:val="clear" w:color="auto" w:fill="F2F2F2" w:themeFill="background1" w:themeFillShade="F2"/>
          </w:tcPr>
          <w:p w14:paraId="27375554" w14:textId="18031DBB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fixed assets and long-term assets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10D12DEB" w14:textId="46808B79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55296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43DB3EE7" w14:textId="08E513CD" w:rsidR="00BB22D2" w:rsidRPr="00FC7BA2" w:rsidRDefault="009D5DD5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55296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4D08F60A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The asset and investment register value of all fixed assets and any other long-term assets held as </w:t>
            </w:r>
            <w:proofErr w:type="gramStart"/>
            <w:r w:rsidRPr="00FC7BA2">
              <w:rPr>
                <w:rFonts w:cs="Arial"/>
                <w:color w:val="515254"/>
                <w:sz w:val="18"/>
                <w:szCs w:val="18"/>
              </w:rPr>
              <w:t>at</w:t>
            </w:r>
            <w:proofErr w:type="gramEnd"/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 31 March. </w:t>
            </w:r>
          </w:p>
        </w:tc>
      </w:tr>
      <w:tr w:rsidR="00BB22D2" w:rsidRPr="00681DA1" w14:paraId="6EEAC0AF" w14:textId="77777777" w:rsidTr="00907882">
        <w:trPr>
          <w:trHeight w:val="278"/>
        </w:trPr>
        <w:tc>
          <w:tcPr>
            <w:tcW w:w="2088" w:type="dxa"/>
            <w:shd w:val="clear" w:color="auto" w:fill="F2F2F2" w:themeFill="background1" w:themeFillShade="F2"/>
          </w:tcPr>
          <w:p w14:paraId="34A56975" w14:textId="77777777" w:rsidR="00BB22D2" w:rsidRPr="00FC7BA2" w:rsidRDefault="00BB22D2" w:rsidP="00F82EE9">
            <w:pPr>
              <w:numPr>
                <w:ilvl w:val="0"/>
                <w:numId w:val="17"/>
              </w:numPr>
              <w:tabs>
                <w:tab w:val="clear" w:pos="720"/>
              </w:tabs>
              <w:spacing w:beforeLines="40" w:before="96" w:afterLines="40" w:after="96" w:line="240" w:lineRule="auto"/>
              <w:ind w:left="360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>Total borrowing</w:t>
            </w:r>
          </w:p>
        </w:tc>
        <w:tc>
          <w:tcPr>
            <w:tcW w:w="1652" w:type="dxa"/>
            <w:shd w:val="clear" w:color="auto" w:fill="F2F2F2" w:themeFill="background1" w:themeFillShade="F2"/>
          </w:tcPr>
          <w:p w14:paraId="48CB7BA7" w14:textId="4C737075" w:rsidR="00BB22D2" w:rsidRPr="00FC7BA2" w:rsidRDefault="00FD7FBF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1624" w:type="dxa"/>
            <w:shd w:val="clear" w:color="auto" w:fill="F2F2F2" w:themeFill="background1" w:themeFillShade="F2"/>
          </w:tcPr>
          <w:p w14:paraId="4153A0D1" w14:textId="573558A4" w:rsidR="00BB22D2" w:rsidRPr="00FC7BA2" w:rsidRDefault="009D5DD5" w:rsidP="00F82EE9">
            <w:pPr>
              <w:spacing w:beforeLines="40" w:before="96" w:afterLines="40" w:after="96" w:line="240" w:lineRule="auto"/>
              <w:jc w:val="right"/>
              <w:rPr>
                <w:rFonts w:cs="Arial"/>
                <w:color w:val="515254"/>
                <w:sz w:val="18"/>
                <w:szCs w:val="18"/>
              </w:rPr>
            </w:pPr>
            <w:r>
              <w:rPr>
                <w:rFonts w:cs="Arial"/>
                <w:color w:val="515254"/>
                <w:sz w:val="18"/>
                <w:szCs w:val="18"/>
              </w:rPr>
              <w:t>0</w:t>
            </w:r>
          </w:p>
        </w:tc>
        <w:tc>
          <w:tcPr>
            <w:tcW w:w="5551" w:type="dxa"/>
            <w:shd w:val="clear" w:color="auto" w:fill="F2F2F2" w:themeFill="background1" w:themeFillShade="F2"/>
          </w:tcPr>
          <w:p w14:paraId="404D4206" w14:textId="77777777" w:rsidR="00BB22D2" w:rsidRPr="00FC7BA2" w:rsidRDefault="00BB22D2" w:rsidP="00F82EE9">
            <w:pPr>
              <w:spacing w:beforeLines="40" w:before="96" w:afterLines="40" w:after="96" w:line="240" w:lineRule="auto"/>
              <w:rPr>
                <w:rFonts w:cs="Arial"/>
                <w:color w:val="515254"/>
                <w:sz w:val="18"/>
                <w:szCs w:val="18"/>
              </w:rPr>
            </w:pPr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The outstanding capital balance as </w:t>
            </w:r>
            <w:proofErr w:type="gramStart"/>
            <w:r w:rsidRPr="00FC7BA2">
              <w:rPr>
                <w:rFonts w:cs="Arial"/>
                <w:color w:val="515254"/>
                <w:sz w:val="18"/>
                <w:szCs w:val="18"/>
              </w:rPr>
              <w:t>at</w:t>
            </w:r>
            <w:proofErr w:type="gramEnd"/>
            <w:r w:rsidRPr="00FC7BA2">
              <w:rPr>
                <w:rFonts w:cs="Arial"/>
                <w:color w:val="515254"/>
                <w:sz w:val="18"/>
                <w:szCs w:val="18"/>
              </w:rPr>
              <w:t xml:space="preserve"> 31 March of all loans from third parties (including PWLB).</w:t>
            </w:r>
          </w:p>
        </w:tc>
      </w:tr>
    </w:tbl>
    <w:p w14:paraId="3EEEF7FB" w14:textId="77777777" w:rsidR="00BB22D2" w:rsidRPr="000113D8" w:rsidRDefault="00BB22D2" w:rsidP="00BB22D2">
      <w:pPr>
        <w:spacing w:before="0" w:after="0" w:line="240" w:lineRule="atLeast"/>
        <w:rPr>
          <w:sz w:val="16"/>
          <w:szCs w:val="16"/>
        </w:rPr>
      </w:pPr>
    </w:p>
    <w:sectPr w:rsidR="00BB22D2" w:rsidRPr="000113D8" w:rsidSect="00690C5C">
      <w:headerReference w:type="even" r:id="rId11"/>
      <w:headerReference w:type="default" r:id="rId12"/>
      <w:headerReference w:type="first" r:id="rId13"/>
      <w:pgSz w:w="11906" w:h="16838"/>
      <w:pgMar w:top="526" w:right="720" w:bottom="720" w:left="720" w:header="11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AA00" w14:textId="77777777" w:rsidR="008574DF" w:rsidRDefault="008574DF" w:rsidP="00FB2158">
      <w:pPr>
        <w:spacing w:before="0" w:after="0" w:line="240" w:lineRule="auto"/>
      </w:pPr>
      <w:r>
        <w:separator/>
      </w:r>
    </w:p>
  </w:endnote>
  <w:endnote w:type="continuationSeparator" w:id="0">
    <w:p w14:paraId="599D4C4E" w14:textId="77777777" w:rsidR="008574DF" w:rsidRDefault="008574DF" w:rsidP="00FB2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91E31" w14:textId="77777777" w:rsidR="008574DF" w:rsidRDefault="008574DF" w:rsidP="00FB2158">
      <w:pPr>
        <w:spacing w:before="0" w:after="0" w:line="240" w:lineRule="auto"/>
      </w:pPr>
      <w:r>
        <w:separator/>
      </w:r>
    </w:p>
  </w:footnote>
  <w:footnote w:type="continuationSeparator" w:id="0">
    <w:p w14:paraId="659B79F8" w14:textId="77777777" w:rsidR="008574DF" w:rsidRDefault="008574DF" w:rsidP="00FB2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8EC0" w14:textId="77777777" w:rsidR="00D178DA" w:rsidRDefault="00000000">
    <w:pPr>
      <w:pStyle w:val="Header"/>
    </w:pPr>
    <w:r>
      <w:rPr>
        <w:noProof/>
      </w:rPr>
      <w:pict w14:anchorId="0CC198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06010" o:spid="_x0000_s1030" type="#_x0000_t136" style="position:absolute;margin-left:0;margin-top:0;width:645.5pt;height:92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pecimen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9CD7" w14:textId="77777777" w:rsidR="00D178DA" w:rsidRDefault="00D178DA" w:rsidP="00CD7245">
    <w:pPr>
      <w:pStyle w:val="Header"/>
      <w:spacing w:after="120"/>
    </w:pPr>
  </w:p>
  <w:p w14:paraId="1170C810" w14:textId="77777777" w:rsidR="00D178DA" w:rsidRPr="00CD7245" w:rsidRDefault="00D178DA" w:rsidP="00CD7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311F" w14:textId="61C2E0A8" w:rsidR="00D178DA" w:rsidRPr="001D772D" w:rsidRDefault="00E661F6" w:rsidP="00635B4C">
    <w:pPr>
      <w:jc w:val="center"/>
      <w:rPr>
        <w:b/>
        <w:color w:val="515254"/>
        <w:sz w:val="36"/>
        <w:szCs w:val="36"/>
      </w:rPr>
    </w:pPr>
    <w:r w:rsidRPr="001D772D">
      <w:rPr>
        <w:b/>
        <w:color w:val="515254"/>
        <w:sz w:val="36"/>
        <w:szCs w:val="36"/>
      </w:rPr>
      <w:t xml:space="preserve">Annual Return for the Year Ended 31 </w:t>
    </w:r>
    <w:r w:rsidR="001D772D" w:rsidRPr="001D772D">
      <w:rPr>
        <w:b/>
        <w:color w:val="515254"/>
        <w:sz w:val="36"/>
        <w:szCs w:val="36"/>
      </w:rPr>
      <w:t xml:space="preserve">March </w:t>
    </w:r>
    <w:r w:rsidR="008A1DF5">
      <w:rPr>
        <w:b/>
        <w:color w:val="515254"/>
        <w:sz w:val="36"/>
        <w:szCs w:val="36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6D"/>
    <w:multiLevelType w:val="hybridMultilevel"/>
    <w:tmpl w:val="AE707E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4162"/>
    <w:multiLevelType w:val="hybridMultilevel"/>
    <w:tmpl w:val="E090AC30"/>
    <w:lvl w:ilvl="0" w:tplc="3F70F7DA">
      <w:start w:val="1"/>
      <w:numFmt w:val="bullet"/>
      <w:pStyle w:val="APrecommendationbullets"/>
      <w:lvlText w:val=""/>
      <w:lvlJc w:val="left"/>
      <w:pPr>
        <w:ind w:left="737" w:hanging="283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" w15:restartNumberingAfterBreak="0">
    <w:nsid w:val="033D6DFE"/>
    <w:multiLevelType w:val="hybridMultilevel"/>
    <w:tmpl w:val="19D43132"/>
    <w:lvl w:ilvl="0" w:tplc="9840471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00297"/>
    <w:multiLevelType w:val="hybridMultilevel"/>
    <w:tmpl w:val="54604846"/>
    <w:lvl w:ilvl="0" w:tplc="72D4A64C">
      <w:start w:val="1"/>
      <w:numFmt w:val="bullet"/>
      <w:pStyle w:val="Sub-bullets"/>
      <w:lvlText w:val="‒"/>
      <w:lvlJc w:val="left"/>
      <w:pPr>
        <w:ind w:left="1701" w:hanging="56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7BA"/>
    <w:multiLevelType w:val="hybridMultilevel"/>
    <w:tmpl w:val="C1186D5E"/>
    <w:lvl w:ilvl="0" w:tplc="1EBEE518">
      <w:start w:val="1"/>
      <w:numFmt w:val="bullet"/>
      <w:pStyle w:val="Tablebullets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27EC"/>
    <w:multiLevelType w:val="hybridMultilevel"/>
    <w:tmpl w:val="8B62ABB2"/>
    <w:lvl w:ilvl="0" w:tplc="100C1E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86EA1"/>
    <w:multiLevelType w:val="hybridMultilevel"/>
    <w:tmpl w:val="51B053EA"/>
    <w:lvl w:ilvl="0" w:tplc="CF8A6736">
      <w:start w:val="1"/>
      <w:numFmt w:val="bullet"/>
      <w:lvlText w:val="‒"/>
      <w:lvlJc w:val="left"/>
      <w:pPr>
        <w:ind w:left="1701" w:hanging="56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143"/>
    <w:multiLevelType w:val="hybridMultilevel"/>
    <w:tmpl w:val="3912F14A"/>
    <w:lvl w:ilvl="0" w:tplc="B57283D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E4DBF"/>
    <w:multiLevelType w:val="hybridMultilevel"/>
    <w:tmpl w:val="CBC01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024B"/>
    <w:multiLevelType w:val="hybridMultilevel"/>
    <w:tmpl w:val="81F29020"/>
    <w:lvl w:ilvl="0" w:tplc="A67A0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0" w15:restartNumberingAfterBreak="0">
    <w:nsid w:val="2CED47BC"/>
    <w:multiLevelType w:val="singleLevel"/>
    <w:tmpl w:val="FF0C0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2D38059A"/>
    <w:multiLevelType w:val="hybridMultilevel"/>
    <w:tmpl w:val="9FAAD29A"/>
    <w:lvl w:ilvl="0" w:tplc="DEE0B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0CA1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284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6B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4EF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962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C1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8EE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EC5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B56241"/>
    <w:multiLevelType w:val="hybridMultilevel"/>
    <w:tmpl w:val="E206AC2E"/>
    <w:lvl w:ilvl="0" w:tplc="8BDE6882">
      <w:start w:val="1"/>
      <w:numFmt w:val="bullet"/>
      <w:pStyle w:val="Recommendationbullets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7986E38"/>
    <w:multiLevelType w:val="hybridMultilevel"/>
    <w:tmpl w:val="E17293FE"/>
    <w:lvl w:ilvl="0" w:tplc="791ED20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87E"/>
    <w:multiLevelType w:val="hybridMultilevel"/>
    <w:tmpl w:val="19F6512A"/>
    <w:lvl w:ilvl="0" w:tplc="71B2576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EC2"/>
    <w:multiLevelType w:val="hybridMultilevel"/>
    <w:tmpl w:val="79C61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487334"/>
    <w:multiLevelType w:val="hybridMultilevel"/>
    <w:tmpl w:val="F44246AA"/>
    <w:lvl w:ilvl="0" w:tplc="8570C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0470C"/>
    <w:multiLevelType w:val="hybridMultilevel"/>
    <w:tmpl w:val="4A9CA79C"/>
    <w:lvl w:ilvl="0" w:tplc="F66C21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5115D"/>
    <w:multiLevelType w:val="hybridMultilevel"/>
    <w:tmpl w:val="8D50B20A"/>
    <w:lvl w:ilvl="0" w:tplc="080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9" w15:restartNumberingAfterBreak="0">
    <w:nsid w:val="4AF56040"/>
    <w:multiLevelType w:val="hybridMultilevel"/>
    <w:tmpl w:val="89CAADD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CDB2C6B"/>
    <w:multiLevelType w:val="hybridMultilevel"/>
    <w:tmpl w:val="78A0331E"/>
    <w:lvl w:ilvl="0" w:tplc="CF740E3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A30C7"/>
    <w:multiLevelType w:val="hybridMultilevel"/>
    <w:tmpl w:val="70FE4A74"/>
    <w:lvl w:ilvl="0" w:tplc="808AB0FE">
      <w:start w:val="1"/>
      <w:numFmt w:val="bullet"/>
      <w:pStyle w:val="Tablesub-bullets"/>
      <w:lvlText w:val="‒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7E44"/>
    <w:multiLevelType w:val="hybridMultilevel"/>
    <w:tmpl w:val="877E8132"/>
    <w:lvl w:ilvl="0" w:tplc="C43EF7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B01717"/>
        <w:sz w:val="20"/>
        <w:szCs w:val="20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D1859"/>
    <w:multiLevelType w:val="hybridMultilevel"/>
    <w:tmpl w:val="C1D6C626"/>
    <w:lvl w:ilvl="0" w:tplc="EB92C330">
      <w:start w:val="1"/>
      <w:numFmt w:val="decimal"/>
      <w:pStyle w:val="Numberedtext"/>
      <w:lvlText w:val="%1."/>
      <w:lvlJc w:val="left"/>
      <w:pPr>
        <w:ind w:left="567" w:hanging="567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5D8"/>
    <w:multiLevelType w:val="hybridMultilevel"/>
    <w:tmpl w:val="A1B08B38"/>
    <w:lvl w:ilvl="0" w:tplc="507E5E1A">
      <w:start w:val="1"/>
      <w:numFmt w:val="bullet"/>
      <w:pStyle w:val="Bullets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2271AC"/>
    <w:multiLevelType w:val="hybridMultilevel"/>
    <w:tmpl w:val="48BA8C00"/>
    <w:lvl w:ilvl="0" w:tplc="58FC1CF0">
      <w:start w:val="1"/>
      <w:numFmt w:val="bullet"/>
      <w:pStyle w:val="Appendixbullets"/>
      <w:lvlText w:val=""/>
      <w:lvlJc w:val="left"/>
      <w:pPr>
        <w:ind w:left="567" w:hanging="567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E56CB"/>
    <w:multiLevelType w:val="hybridMultilevel"/>
    <w:tmpl w:val="B3C41B52"/>
    <w:lvl w:ilvl="0" w:tplc="60E6D884">
      <w:start w:val="1"/>
      <w:numFmt w:val="bullet"/>
      <w:pStyle w:val="APrecommendationsub-bullets"/>
      <w:lvlText w:val="‒"/>
      <w:lvlJc w:val="left"/>
      <w:pPr>
        <w:ind w:left="1021" w:hanging="284"/>
      </w:pPr>
      <w:rPr>
        <w:rFonts w:ascii="Arial" w:hAnsi="Aria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B5CB2"/>
    <w:multiLevelType w:val="hybridMultilevel"/>
    <w:tmpl w:val="A1C82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3543B"/>
    <w:multiLevelType w:val="hybridMultilevel"/>
    <w:tmpl w:val="B3123CC2"/>
    <w:lvl w:ilvl="0" w:tplc="541C4792">
      <w:start w:val="1"/>
      <w:numFmt w:val="bullet"/>
      <w:pStyle w:val="Appendixsub-bullets"/>
      <w:lvlText w:val="‒"/>
      <w:lvlJc w:val="left"/>
      <w:pPr>
        <w:ind w:left="1134" w:hanging="567"/>
      </w:pPr>
      <w:rPr>
        <w:rFonts w:ascii="Arial" w:hAnsi="Aria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F4C50"/>
    <w:multiLevelType w:val="hybridMultilevel"/>
    <w:tmpl w:val="12D6EA2C"/>
    <w:lvl w:ilvl="0" w:tplc="37C4DF66">
      <w:start w:val="1"/>
      <w:numFmt w:val="bullet"/>
      <w:pStyle w:val="Recommendationsub-bullets"/>
      <w:lvlText w:val="‒"/>
      <w:lvlJc w:val="left"/>
      <w:pPr>
        <w:ind w:left="1701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92A0E"/>
    <w:multiLevelType w:val="hybridMultilevel"/>
    <w:tmpl w:val="64465698"/>
    <w:lvl w:ilvl="0" w:tplc="9E140A1E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2818">
    <w:abstractNumId w:val="4"/>
  </w:num>
  <w:num w:numId="2" w16cid:durableId="1509832046">
    <w:abstractNumId w:val="21"/>
  </w:num>
  <w:num w:numId="3" w16cid:durableId="390470797">
    <w:abstractNumId w:val="1"/>
  </w:num>
  <w:num w:numId="4" w16cid:durableId="241525914">
    <w:abstractNumId w:val="26"/>
  </w:num>
  <w:num w:numId="5" w16cid:durableId="263806166">
    <w:abstractNumId w:val="25"/>
  </w:num>
  <w:num w:numId="6" w16cid:durableId="567499722">
    <w:abstractNumId w:val="28"/>
  </w:num>
  <w:num w:numId="7" w16cid:durableId="1650204192">
    <w:abstractNumId w:val="24"/>
  </w:num>
  <w:num w:numId="8" w16cid:durableId="1168859765">
    <w:abstractNumId w:val="23"/>
  </w:num>
  <w:num w:numId="9" w16cid:durableId="1317802371">
    <w:abstractNumId w:val="4"/>
  </w:num>
  <w:num w:numId="10" w16cid:durableId="135031687">
    <w:abstractNumId w:val="12"/>
  </w:num>
  <w:num w:numId="11" w16cid:durableId="1403673384">
    <w:abstractNumId w:val="29"/>
  </w:num>
  <w:num w:numId="12" w16cid:durableId="379745573">
    <w:abstractNumId w:val="3"/>
  </w:num>
  <w:num w:numId="13" w16cid:durableId="1563561800">
    <w:abstractNumId w:val="21"/>
  </w:num>
  <w:num w:numId="14" w16cid:durableId="393091575">
    <w:abstractNumId w:val="6"/>
  </w:num>
  <w:num w:numId="15" w16cid:durableId="310598922">
    <w:abstractNumId w:val="30"/>
  </w:num>
  <w:num w:numId="16" w16cid:durableId="1817792933">
    <w:abstractNumId w:val="11"/>
  </w:num>
  <w:num w:numId="17" w16cid:durableId="1512184008">
    <w:abstractNumId w:val="2"/>
  </w:num>
  <w:num w:numId="18" w16cid:durableId="1349059905">
    <w:abstractNumId w:val="1"/>
  </w:num>
  <w:num w:numId="19" w16cid:durableId="32770768">
    <w:abstractNumId w:val="26"/>
  </w:num>
  <w:num w:numId="20" w16cid:durableId="787511516">
    <w:abstractNumId w:val="25"/>
  </w:num>
  <w:num w:numId="21" w16cid:durableId="1561478601">
    <w:abstractNumId w:val="28"/>
  </w:num>
  <w:num w:numId="22" w16cid:durableId="556160309">
    <w:abstractNumId w:val="24"/>
  </w:num>
  <w:num w:numId="23" w16cid:durableId="402528589">
    <w:abstractNumId w:val="23"/>
  </w:num>
  <w:num w:numId="24" w16cid:durableId="1115172888">
    <w:abstractNumId w:val="4"/>
  </w:num>
  <w:num w:numId="25" w16cid:durableId="1405106788">
    <w:abstractNumId w:val="12"/>
  </w:num>
  <w:num w:numId="26" w16cid:durableId="1824857406">
    <w:abstractNumId w:val="29"/>
  </w:num>
  <w:num w:numId="27" w16cid:durableId="2136092857">
    <w:abstractNumId w:val="3"/>
  </w:num>
  <w:num w:numId="28" w16cid:durableId="1444879181">
    <w:abstractNumId w:val="21"/>
  </w:num>
  <w:num w:numId="29" w16cid:durableId="1644919922">
    <w:abstractNumId w:val="10"/>
  </w:num>
  <w:num w:numId="30" w16cid:durableId="729690676">
    <w:abstractNumId w:val="9"/>
  </w:num>
  <w:num w:numId="31" w16cid:durableId="1564365844">
    <w:abstractNumId w:val="22"/>
  </w:num>
  <w:num w:numId="32" w16cid:durableId="1499543112">
    <w:abstractNumId w:val="19"/>
  </w:num>
  <w:num w:numId="33" w16cid:durableId="2144155531">
    <w:abstractNumId w:val="18"/>
  </w:num>
  <w:num w:numId="34" w16cid:durableId="1111435766">
    <w:abstractNumId w:val="0"/>
  </w:num>
  <w:num w:numId="35" w16cid:durableId="1049449888">
    <w:abstractNumId w:val="16"/>
  </w:num>
  <w:num w:numId="36" w16cid:durableId="1969432485">
    <w:abstractNumId w:val="17"/>
  </w:num>
  <w:num w:numId="37" w16cid:durableId="334771166">
    <w:abstractNumId w:val="15"/>
  </w:num>
  <w:num w:numId="38" w16cid:durableId="539709515">
    <w:abstractNumId w:val="27"/>
  </w:num>
  <w:num w:numId="39" w16cid:durableId="2050102186">
    <w:abstractNumId w:val="8"/>
  </w:num>
  <w:num w:numId="40" w16cid:durableId="1013264309">
    <w:abstractNumId w:val="20"/>
  </w:num>
  <w:num w:numId="41" w16cid:durableId="322781099">
    <w:abstractNumId w:val="14"/>
  </w:num>
  <w:num w:numId="42" w16cid:durableId="730928528">
    <w:abstractNumId w:val="7"/>
  </w:num>
  <w:num w:numId="43" w16cid:durableId="1641182202">
    <w:abstractNumId w:val="5"/>
  </w:num>
  <w:num w:numId="44" w16cid:durableId="11869400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0A"/>
    <w:rsid w:val="000113D8"/>
    <w:rsid w:val="00012297"/>
    <w:rsid w:val="0002006A"/>
    <w:rsid w:val="00023E55"/>
    <w:rsid w:val="000260BC"/>
    <w:rsid w:val="000269D7"/>
    <w:rsid w:val="00031B80"/>
    <w:rsid w:val="000324CB"/>
    <w:rsid w:val="00033B98"/>
    <w:rsid w:val="00033D08"/>
    <w:rsid w:val="000405BE"/>
    <w:rsid w:val="00041467"/>
    <w:rsid w:val="00046892"/>
    <w:rsid w:val="00050876"/>
    <w:rsid w:val="00051DBD"/>
    <w:rsid w:val="00053BA0"/>
    <w:rsid w:val="000544EF"/>
    <w:rsid w:val="00055CCD"/>
    <w:rsid w:val="00056B60"/>
    <w:rsid w:val="00060682"/>
    <w:rsid w:val="000651DD"/>
    <w:rsid w:val="000708A8"/>
    <w:rsid w:val="0007259D"/>
    <w:rsid w:val="00075BD3"/>
    <w:rsid w:val="00080F83"/>
    <w:rsid w:val="00083DC9"/>
    <w:rsid w:val="00085A5B"/>
    <w:rsid w:val="00091420"/>
    <w:rsid w:val="00091F2C"/>
    <w:rsid w:val="00092740"/>
    <w:rsid w:val="00093854"/>
    <w:rsid w:val="000948BC"/>
    <w:rsid w:val="0009502C"/>
    <w:rsid w:val="000961A8"/>
    <w:rsid w:val="00096FAB"/>
    <w:rsid w:val="000976EA"/>
    <w:rsid w:val="000A3D38"/>
    <w:rsid w:val="000A5676"/>
    <w:rsid w:val="000B1272"/>
    <w:rsid w:val="000B1BA1"/>
    <w:rsid w:val="000C448C"/>
    <w:rsid w:val="000D176A"/>
    <w:rsid w:val="000D47CB"/>
    <w:rsid w:val="000D5C7B"/>
    <w:rsid w:val="000D735A"/>
    <w:rsid w:val="000E41F1"/>
    <w:rsid w:val="000E7B2B"/>
    <w:rsid w:val="000F12B9"/>
    <w:rsid w:val="00100D47"/>
    <w:rsid w:val="00102EE6"/>
    <w:rsid w:val="001045D0"/>
    <w:rsid w:val="001048B0"/>
    <w:rsid w:val="00106264"/>
    <w:rsid w:val="001073F9"/>
    <w:rsid w:val="001203EF"/>
    <w:rsid w:val="00120B3A"/>
    <w:rsid w:val="00127EC2"/>
    <w:rsid w:val="00130DC3"/>
    <w:rsid w:val="001334DB"/>
    <w:rsid w:val="0013730D"/>
    <w:rsid w:val="001473F2"/>
    <w:rsid w:val="001475F1"/>
    <w:rsid w:val="00150710"/>
    <w:rsid w:val="001510A2"/>
    <w:rsid w:val="00151394"/>
    <w:rsid w:val="001517B7"/>
    <w:rsid w:val="00153D65"/>
    <w:rsid w:val="00155A48"/>
    <w:rsid w:val="00156636"/>
    <w:rsid w:val="00157193"/>
    <w:rsid w:val="00160DA8"/>
    <w:rsid w:val="00167C98"/>
    <w:rsid w:val="001745AB"/>
    <w:rsid w:val="0017501A"/>
    <w:rsid w:val="001769E5"/>
    <w:rsid w:val="00182BAA"/>
    <w:rsid w:val="00186CF5"/>
    <w:rsid w:val="00187739"/>
    <w:rsid w:val="001931B6"/>
    <w:rsid w:val="001935A6"/>
    <w:rsid w:val="001960D8"/>
    <w:rsid w:val="001A551F"/>
    <w:rsid w:val="001A5702"/>
    <w:rsid w:val="001A7A1B"/>
    <w:rsid w:val="001B2BC5"/>
    <w:rsid w:val="001B2F9C"/>
    <w:rsid w:val="001C0481"/>
    <w:rsid w:val="001C4A20"/>
    <w:rsid w:val="001C4E06"/>
    <w:rsid w:val="001C599C"/>
    <w:rsid w:val="001C74A3"/>
    <w:rsid w:val="001C7E39"/>
    <w:rsid w:val="001D177B"/>
    <w:rsid w:val="001D74EC"/>
    <w:rsid w:val="001D772D"/>
    <w:rsid w:val="001E071F"/>
    <w:rsid w:val="001E1473"/>
    <w:rsid w:val="001E1900"/>
    <w:rsid w:val="001E1E13"/>
    <w:rsid w:val="001E5381"/>
    <w:rsid w:val="001F02F6"/>
    <w:rsid w:val="001F108F"/>
    <w:rsid w:val="001F1968"/>
    <w:rsid w:val="002053AE"/>
    <w:rsid w:val="00206259"/>
    <w:rsid w:val="002164A9"/>
    <w:rsid w:val="00220D92"/>
    <w:rsid w:val="00222C43"/>
    <w:rsid w:val="00224F8A"/>
    <w:rsid w:val="00226194"/>
    <w:rsid w:val="0022675E"/>
    <w:rsid w:val="002364DF"/>
    <w:rsid w:val="0024026B"/>
    <w:rsid w:val="002407E0"/>
    <w:rsid w:val="00241311"/>
    <w:rsid w:val="0024621A"/>
    <w:rsid w:val="00250721"/>
    <w:rsid w:val="0026048B"/>
    <w:rsid w:val="002615A5"/>
    <w:rsid w:val="00263896"/>
    <w:rsid w:val="00264A85"/>
    <w:rsid w:val="0027057E"/>
    <w:rsid w:val="00272A2F"/>
    <w:rsid w:val="0027474A"/>
    <w:rsid w:val="002829A7"/>
    <w:rsid w:val="00282E10"/>
    <w:rsid w:val="00287D40"/>
    <w:rsid w:val="00287F90"/>
    <w:rsid w:val="0029138A"/>
    <w:rsid w:val="002914FC"/>
    <w:rsid w:val="002972A6"/>
    <w:rsid w:val="002A030C"/>
    <w:rsid w:val="002A13FD"/>
    <w:rsid w:val="002A14C0"/>
    <w:rsid w:val="002A209F"/>
    <w:rsid w:val="002A22A1"/>
    <w:rsid w:val="002A41AD"/>
    <w:rsid w:val="002A4269"/>
    <w:rsid w:val="002A4C0B"/>
    <w:rsid w:val="002B0EA4"/>
    <w:rsid w:val="002B258B"/>
    <w:rsid w:val="002C4503"/>
    <w:rsid w:val="002C4F23"/>
    <w:rsid w:val="002D0A04"/>
    <w:rsid w:val="002D0E31"/>
    <w:rsid w:val="002D3B64"/>
    <w:rsid w:val="002D6429"/>
    <w:rsid w:val="002D6AD4"/>
    <w:rsid w:val="002E4A1C"/>
    <w:rsid w:val="002F0FEB"/>
    <w:rsid w:val="002F20A9"/>
    <w:rsid w:val="002F28E1"/>
    <w:rsid w:val="002F3D9C"/>
    <w:rsid w:val="002F6F87"/>
    <w:rsid w:val="002F7DDD"/>
    <w:rsid w:val="002F7E51"/>
    <w:rsid w:val="00300751"/>
    <w:rsid w:val="00303957"/>
    <w:rsid w:val="00310658"/>
    <w:rsid w:val="00316E35"/>
    <w:rsid w:val="003208A2"/>
    <w:rsid w:val="003317CA"/>
    <w:rsid w:val="003334FB"/>
    <w:rsid w:val="00333AD6"/>
    <w:rsid w:val="00337B04"/>
    <w:rsid w:val="0034721C"/>
    <w:rsid w:val="003474E3"/>
    <w:rsid w:val="003502DF"/>
    <w:rsid w:val="00353063"/>
    <w:rsid w:val="003535CF"/>
    <w:rsid w:val="00357225"/>
    <w:rsid w:val="00360807"/>
    <w:rsid w:val="00361F9F"/>
    <w:rsid w:val="00362325"/>
    <w:rsid w:val="00362921"/>
    <w:rsid w:val="00363154"/>
    <w:rsid w:val="003642F9"/>
    <w:rsid w:val="00364885"/>
    <w:rsid w:val="00367AC6"/>
    <w:rsid w:val="003713A5"/>
    <w:rsid w:val="00372507"/>
    <w:rsid w:val="0037654E"/>
    <w:rsid w:val="003770D7"/>
    <w:rsid w:val="00385F9E"/>
    <w:rsid w:val="00393445"/>
    <w:rsid w:val="00394E6A"/>
    <w:rsid w:val="00394F12"/>
    <w:rsid w:val="0039546B"/>
    <w:rsid w:val="00395F53"/>
    <w:rsid w:val="003967BE"/>
    <w:rsid w:val="0039791C"/>
    <w:rsid w:val="003A13E2"/>
    <w:rsid w:val="003A48C3"/>
    <w:rsid w:val="003A6A08"/>
    <w:rsid w:val="003B102D"/>
    <w:rsid w:val="003B165A"/>
    <w:rsid w:val="003B6E00"/>
    <w:rsid w:val="003C5FC1"/>
    <w:rsid w:val="003D419C"/>
    <w:rsid w:val="003E0E14"/>
    <w:rsid w:val="003E688B"/>
    <w:rsid w:val="003E7A57"/>
    <w:rsid w:val="003F0A7C"/>
    <w:rsid w:val="003F1C28"/>
    <w:rsid w:val="003F3620"/>
    <w:rsid w:val="00406B41"/>
    <w:rsid w:val="004259B6"/>
    <w:rsid w:val="00427D0A"/>
    <w:rsid w:val="004301FE"/>
    <w:rsid w:val="00430818"/>
    <w:rsid w:val="00430EEE"/>
    <w:rsid w:val="0043234A"/>
    <w:rsid w:val="004323D4"/>
    <w:rsid w:val="00433564"/>
    <w:rsid w:val="00433FAA"/>
    <w:rsid w:val="004352ED"/>
    <w:rsid w:val="004356FB"/>
    <w:rsid w:val="00437178"/>
    <w:rsid w:val="004408FB"/>
    <w:rsid w:val="004415B5"/>
    <w:rsid w:val="00441E90"/>
    <w:rsid w:val="00447EAC"/>
    <w:rsid w:val="00455A05"/>
    <w:rsid w:val="00456B4C"/>
    <w:rsid w:val="00457D9E"/>
    <w:rsid w:val="00460097"/>
    <w:rsid w:val="00460983"/>
    <w:rsid w:val="0046313F"/>
    <w:rsid w:val="00463B15"/>
    <w:rsid w:val="0046619F"/>
    <w:rsid w:val="004737C4"/>
    <w:rsid w:val="00473DFF"/>
    <w:rsid w:val="00477CDA"/>
    <w:rsid w:val="00483F94"/>
    <w:rsid w:val="00486AAA"/>
    <w:rsid w:val="00487569"/>
    <w:rsid w:val="00487C39"/>
    <w:rsid w:val="00490667"/>
    <w:rsid w:val="00490AC9"/>
    <w:rsid w:val="00493C73"/>
    <w:rsid w:val="00493EE8"/>
    <w:rsid w:val="00494315"/>
    <w:rsid w:val="00496061"/>
    <w:rsid w:val="004A04E8"/>
    <w:rsid w:val="004A630F"/>
    <w:rsid w:val="004A7D3F"/>
    <w:rsid w:val="004B0B2C"/>
    <w:rsid w:val="004B7036"/>
    <w:rsid w:val="004C5BAF"/>
    <w:rsid w:val="004D0201"/>
    <w:rsid w:val="004D2099"/>
    <w:rsid w:val="004D4F82"/>
    <w:rsid w:val="004D6284"/>
    <w:rsid w:val="004D7976"/>
    <w:rsid w:val="004E6CC7"/>
    <w:rsid w:val="004F0ACD"/>
    <w:rsid w:val="004F0FD2"/>
    <w:rsid w:val="005000B3"/>
    <w:rsid w:val="00501CA4"/>
    <w:rsid w:val="00505683"/>
    <w:rsid w:val="0051133B"/>
    <w:rsid w:val="00514081"/>
    <w:rsid w:val="00515EFD"/>
    <w:rsid w:val="005178CE"/>
    <w:rsid w:val="00520505"/>
    <w:rsid w:val="00520F65"/>
    <w:rsid w:val="00522989"/>
    <w:rsid w:val="00522F88"/>
    <w:rsid w:val="00524015"/>
    <w:rsid w:val="00524129"/>
    <w:rsid w:val="0052538E"/>
    <w:rsid w:val="0052619B"/>
    <w:rsid w:val="0052689E"/>
    <w:rsid w:val="005343E1"/>
    <w:rsid w:val="00534607"/>
    <w:rsid w:val="0053698D"/>
    <w:rsid w:val="00537A2E"/>
    <w:rsid w:val="0054005F"/>
    <w:rsid w:val="00540886"/>
    <w:rsid w:val="00541420"/>
    <w:rsid w:val="00546974"/>
    <w:rsid w:val="00547C36"/>
    <w:rsid w:val="00552520"/>
    <w:rsid w:val="00554937"/>
    <w:rsid w:val="005572A2"/>
    <w:rsid w:val="00561868"/>
    <w:rsid w:val="005641DA"/>
    <w:rsid w:val="00565983"/>
    <w:rsid w:val="00570E29"/>
    <w:rsid w:val="00572C3D"/>
    <w:rsid w:val="005760F5"/>
    <w:rsid w:val="00585EB4"/>
    <w:rsid w:val="00587085"/>
    <w:rsid w:val="00587ED1"/>
    <w:rsid w:val="005966D2"/>
    <w:rsid w:val="005A0349"/>
    <w:rsid w:val="005B4456"/>
    <w:rsid w:val="005B52C7"/>
    <w:rsid w:val="005B562E"/>
    <w:rsid w:val="005C1852"/>
    <w:rsid w:val="005C61E3"/>
    <w:rsid w:val="005C6799"/>
    <w:rsid w:val="005C76E7"/>
    <w:rsid w:val="005E12B9"/>
    <w:rsid w:val="005F61B2"/>
    <w:rsid w:val="00601427"/>
    <w:rsid w:val="00601E49"/>
    <w:rsid w:val="006028A5"/>
    <w:rsid w:val="00603AD6"/>
    <w:rsid w:val="006128BE"/>
    <w:rsid w:val="00615B62"/>
    <w:rsid w:val="00620B43"/>
    <w:rsid w:val="0063064E"/>
    <w:rsid w:val="0063273F"/>
    <w:rsid w:val="0063387C"/>
    <w:rsid w:val="00635B4C"/>
    <w:rsid w:val="00635DF0"/>
    <w:rsid w:val="0064037A"/>
    <w:rsid w:val="00641570"/>
    <w:rsid w:val="00641D1D"/>
    <w:rsid w:val="00641E0F"/>
    <w:rsid w:val="00642738"/>
    <w:rsid w:val="00643264"/>
    <w:rsid w:val="00643517"/>
    <w:rsid w:val="006444C4"/>
    <w:rsid w:val="00644949"/>
    <w:rsid w:val="00650ED9"/>
    <w:rsid w:val="00661699"/>
    <w:rsid w:val="00662E63"/>
    <w:rsid w:val="0067136F"/>
    <w:rsid w:val="00671629"/>
    <w:rsid w:val="00672480"/>
    <w:rsid w:val="00674AE2"/>
    <w:rsid w:val="00680E72"/>
    <w:rsid w:val="00681DA1"/>
    <w:rsid w:val="00683073"/>
    <w:rsid w:val="00690C5C"/>
    <w:rsid w:val="00692FF0"/>
    <w:rsid w:val="00697470"/>
    <w:rsid w:val="006A64D4"/>
    <w:rsid w:val="006A6893"/>
    <w:rsid w:val="006B0F39"/>
    <w:rsid w:val="006B14CF"/>
    <w:rsid w:val="006B1AD5"/>
    <w:rsid w:val="006B1F1A"/>
    <w:rsid w:val="006B20F7"/>
    <w:rsid w:val="006B2970"/>
    <w:rsid w:val="006B3198"/>
    <w:rsid w:val="006B3FAD"/>
    <w:rsid w:val="006B4C6B"/>
    <w:rsid w:val="006B4DDC"/>
    <w:rsid w:val="006B668A"/>
    <w:rsid w:val="006C1A8D"/>
    <w:rsid w:val="006C2423"/>
    <w:rsid w:val="006C29A6"/>
    <w:rsid w:val="006C2B63"/>
    <w:rsid w:val="006C38EF"/>
    <w:rsid w:val="006C42FD"/>
    <w:rsid w:val="006C5EA7"/>
    <w:rsid w:val="006D318C"/>
    <w:rsid w:val="006D40C7"/>
    <w:rsid w:val="006D611C"/>
    <w:rsid w:val="006D6E92"/>
    <w:rsid w:val="006D6FC2"/>
    <w:rsid w:val="006E229B"/>
    <w:rsid w:val="006E3066"/>
    <w:rsid w:val="006E795F"/>
    <w:rsid w:val="006F20D6"/>
    <w:rsid w:val="006F3264"/>
    <w:rsid w:val="006F523D"/>
    <w:rsid w:val="006F54C4"/>
    <w:rsid w:val="006F59D5"/>
    <w:rsid w:val="006F79A8"/>
    <w:rsid w:val="00700FD0"/>
    <w:rsid w:val="00704926"/>
    <w:rsid w:val="0070549D"/>
    <w:rsid w:val="007120B9"/>
    <w:rsid w:val="00714DF8"/>
    <w:rsid w:val="00715650"/>
    <w:rsid w:val="007206BE"/>
    <w:rsid w:val="00727DDF"/>
    <w:rsid w:val="0073095B"/>
    <w:rsid w:val="00734C56"/>
    <w:rsid w:val="00736454"/>
    <w:rsid w:val="007426BD"/>
    <w:rsid w:val="00743BE8"/>
    <w:rsid w:val="00757787"/>
    <w:rsid w:val="0076046D"/>
    <w:rsid w:val="0076121D"/>
    <w:rsid w:val="007627C7"/>
    <w:rsid w:val="00762F32"/>
    <w:rsid w:val="007631A6"/>
    <w:rsid w:val="00765BD0"/>
    <w:rsid w:val="00766062"/>
    <w:rsid w:val="00766DD0"/>
    <w:rsid w:val="007774CE"/>
    <w:rsid w:val="00777D11"/>
    <w:rsid w:val="00777FBE"/>
    <w:rsid w:val="0078022D"/>
    <w:rsid w:val="00784D3C"/>
    <w:rsid w:val="00786BD8"/>
    <w:rsid w:val="00793CD5"/>
    <w:rsid w:val="007A2AE4"/>
    <w:rsid w:val="007A3C55"/>
    <w:rsid w:val="007A4140"/>
    <w:rsid w:val="007A5EBD"/>
    <w:rsid w:val="007A7021"/>
    <w:rsid w:val="007B1977"/>
    <w:rsid w:val="007B2490"/>
    <w:rsid w:val="007B3339"/>
    <w:rsid w:val="007B7DD1"/>
    <w:rsid w:val="007C18AF"/>
    <w:rsid w:val="007C4317"/>
    <w:rsid w:val="007C5BDE"/>
    <w:rsid w:val="007C5D7A"/>
    <w:rsid w:val="007D4E74"/>
    <w:rsid w:val="007D5BCB"/>
    <w:rsid w:val="007D6661"/>
    <w:rsid w:val="007D6CF4"/>
    <w:rsid w:val="007D7456"/>
    <w:rsid w:val="007E33F2"/>
    <w:rsid w:val="007E3571"/>
    <w:rsid w:val="007E3898"/>
    <w:rsid w:val="007E5B8F"/>
    <w:rsid w:val="007E66F5"/>
    <w:rsid w:val="007E6D4B"/>
    <w:rsid w:val="007E7309"/>
    <w:rsid w:val="007F5948"/>
    <w:rsid w:val="008006F2"/>
    <w:rsid w:val="008013D7"/>
    <w:rsid w:val="008022E9"/>
    <w:rsid w:val="008039F7"/>
    <w:rsid w:val="00804AC2"/>
    <w:rsid w:val="008073BA"/>
    <w:rsid w:val="00810EB9"/>
    <w:rsid w:val="00813942"/>
    <w:rsid w:val="00815300"/>
    <w:rsid w:val="008167AC"/>
    <w:rsid w:val="00817782"/>
    <w:rsid w:val="008217E2"/>
    <w:rsid w:val="008220F7"/>
    <w:rsid w:val="0082720B"/>
    <w:rsid w:val="00831843"/>
    <w:rsid w:val="00837694"/>
    <w:rsid w:val="00842472"/>
    <w:rsid w:val="00845D13"/>
    <w:rsid w:val="008500C3"/>
    <w:rsid w:val="00851CA0"/>
    <w:rsid w:val="00851E4C"/>
    <w:rsid w:val="008526D9"/>
    <w:rsid w:val="00855EAE"/>
    <w:rsid w:val="00856BDD"/>
    <w:rsid w:val="008574DF"/>
    <w:rsid w:val="0086519E"/>
    <w:rsid w:val="00870901"/>
    <w:rsid w:val="00873F9E"/>
    <w:rsid w:val="00887B7D"/>
    <w:rsid w:val="00894621"/>
    <w:rsid w:val="008951AA"/>
    <w:rsid w:val="008A1136"/>
    <w:rsid w:val="008A1DF5"/>
    <w:rsid w:val="008A2385"/>
    <w:rsid w:val="008A2FDB"/>
    <w:rsid w:val="008A6FB9"/>
    <w:rsid w:val="008B2C55"/>
    <w:rsid w:val="008B2EB8"/>
    <w:rsid w:val="008B4732"/>
    <w:rsid w:val="008C04B1"/>
    <w:rsid w:val="008D14F5"/>
    <w:rsid w:val="008D2779"/>
    <w:rsid w:val="008D2783"/>
    <w:rsid w:val="008D4FF5"/>
    <w:rsid w:val="008D7DA9"/>
    <w:rsid w:val="008E10B0"/>
    <w:rsid w:val="008E4E21"/>
    <w:rsid w:val="008F185D"/>
    <w:rsid w:val="008F1E5B"/>
    <w:rsid w:val="008F3393"/>
    <w:rsid w:val="008F7CBE"/>
    <w:rsid w:val="00904929"/>
    <w:rsid w:val="009065C2"/>
    <w:rsid w:val="00907882"/>
    <w:rsid w:val="009105DA"/>
    <w:rsid w:val="009118C3"/>
    <w:rsid w:val="00911B98"/>
    <w:rsid w:val="009155CF"/>
    <w:rsid w:val="00922BEA"/>
    <w:rsid w:val="00930949"/>
    <w:rsid w:val="00934769"/>
    <w:rsid w:val="0094090A"/>
    <w:rsid w:val="00943EF5"/>
    <w:rsid w:val="009446CE"/>
    <w:rsid w:val="00947DD2"/>
    <w:rsid w:val="00950E76"/>
    <w:rsid w:val="0095191D"/>
    <w:rsid w:val="00955593"/>
    <w:rsid w:val="00955CA6"/>
    <w:rsid w:val="00957F20"/>
    <w:rsid w:val="009600C8"/>
    <w:rsid w:val="0096239F"/>
    <w:rsid w:val="0096364A"/>
    <w:rsid w:val="00965518"/>
    <w:rsid w:val="00976683"/>
    <w:rsid w:val="00980962"/>
    <w:rsid w:val="009819B7"/>
    <w:rsid w:val="00981B40"/>
    <w:rsid w:val="00982BD4"/>
    <w:rsid w:val="0098546D"/>
    <w:rsid w:val="009916E7"/>
    <w:rsid w:val="00996C79"/>
    <w:rsid w:val="009A6DA5"/>
    <w:rsid w:val="009A78D1"/>
    <w:rsid w:val="009B122D"/>
    <w:rsid w:val="009C0575"/>
    <w:rsid w:val="009C0CCA"/>
    <w:rsid w:val="009C1FCB"/>
    <w:rsid w:val="009C6211"/>
    <w:rsid w:val="009D3FCE"/>
    <w:rsid w:val="009D5DD5"/>
    <w:rsid w:val="009E1107"/>
    <w:rsid w:val="009E3E86"/>
    <w:rsid w:val="009E4D2A"/>
    <w:rsid w:val="009F0C3F"/>
    <w:rsid w:val="009F5D97"/>
    <w:rsid w:val="009F6016"/>
    <w:rsid w:val="009F6EEA"/>
    <w:rsid w:val="009F7940"/>
    <w:rsid w:val="00A060AC"/>
    <w:rsid w:val="00A077A5"/>
    <w:rsid w:val="00A14FD1"/>
    <w:rsid w:val="00A15AFF"/>
    <w:rsid w:val="00A2610B"/>
    <w:rsid w:val="00A302BE"/>
    <w:rsid w:val="00A3048F"/>
    <w:rsid w:val="00A31B02"/>
    <w:rsid w:val="00A33D0C"/>
    <w:rsid w:val="00A3473B"/>
    <w:rsid w:val="00A36662"/>
    <w:rsid w:val="00A3737D"/>
    <w:rsid w:val="00A40450"/>
    <w:rsid w:val="00A45349"/>
    <w:rsid w:val="00A45BC7"/>
    <w:rsid w:val="00A46697"/>
    <w:rsid w:val="00A469BB"/>
    <w:rsid w:val="00A46A48"/>
    <w:rsid w:val="00A51B6B"/>
    <w:rsid w:val="00A5437D"/>
    <w:rsid w:val="00A54894"/>
    <w:rsid w:val="00A55C91"/>
    <w:rsid w:val="00A57963"/>
    <w:rsid w:val="00A606A1"/>
    <w:rsid w:val="00A63E9C"/>
    <w:rsid w:val="00A669A9"/>
    <w:rsid w:val="00A7531A"/>
    <w:rsid w:val="00A76EE3"/>
    <w:rsid w:val="00A76F99"/>
    <w:rsid w:val="00A77242"/>
    <w:rsid w:val="00A7784F"/>
    <w:rsid w:val="00A80AFD"/>
    <w:rsid w:val="00A81D60"/>
    <w:rsid w:val="00A83A8E"/>
    <w:rsid w:val="00A8479A"/>
    <w:rsid w:val="00A87646"/>
    <w:rsid w:val="00A90ED8"/>
    <w:rsid w:val="00A91555"/>
    <w:rsid w:val="00AA08BC"/>
    <w:rsid w:val="00AA140A"/>
    <w:rsid w:val="00AA7D9B"/>
    <w:rsid w:val="00AB65E0"/>
    <w:rsid w:val="00AC176E"/>
    <w:rsid w:val="00AC17FE"/>
    <w:rsid w:val="00AC53B3"/>
    <w:rsid w:val="00AC62E3"/>
    <w:rsid w:val="00AD2CBD"/>
    <w:rsid w:val="00AD2ED3"/>
    <w:rsid w:val="00AD5B96"/>
    <w:rsid w:val="00AD6D8F"/>
    <w:rsid w:val="00AE1644"/>
    <w:rsid w:val="00AE61E7"/>
    <w:rsid w:val="00AE6D30"/>
    <w:rsid w:val="00AF08BD"/>
    <w:rsid w:val="00AF1C71"/>
    <w:rsid w:val="00AF21F1"/>
    <w:rsid w:val="00AF6FD1"/>
    <w:rsid w:val="00B03C98"/>
    <w:rsid w:val="00B047F5"/>
    <w:rsid w:val="00B05032"/>
    <w:rsid w:val="00B113BA"/>
    <w:rsid w:val="00B17A23"/>
    <w:rsid w:val="00B20F60"/>
    <w:rsid w:val="00B2255C"/>
    <w:rsid w:val="00B24F03"/>
    <w:rsid w:val="00B251BA"/>
    <w:rsid w:val="00B26A12"/>
    <w:rsid w:val="00B26B3F"/>
    <w:rsid w:val="00B3041A"/>
    <w:rsid w:val="00B30AC1"/>
    <w:rsid w:val="00B40742"/>
    <w:rsid w:val="00B43C69"/>
    <w:rsid w:val="00B43C89"/>
    <w:rsid w:val="00B51918"/>
    <w:rsid w:val="00B51BD2"/>
    <w:rsid w:val="00B53CE7"/>
    <w:rsid w:val="00B57AFC"/>
    <w:rsid w:val="00B57CCA"/>
    <w:rsid w:val="00B608AC"/>
    <w:rsid w:val="00B609DB"/>
    <w:rsid w:val="00B65D41"/>
    <w:rsid w:val="00B66D07"/>
    <w:rsid w:val="00B774E6"/>
    <w:rsid w:val="00B77B78"/>
    <w:rsid w:val="00B82AC1"/>
    <w:rsid w:val="00B84BE1"/>
    <w:rsid w:val="00B84C34"/>
    <w:rsid w:val="00B86F32"/>
    <w:rsid w:val="00B87A22"/>
    <w:rsid w:val="00B90760"/>
    <w:rsid w:val="00B9378E"/>
    <w:rsid w:val="00BA220D"/>
    <w:rsid w:val="00BA527E"/>
    <w:rsid w:val="00BA69C8"/>
    <w:rsid w:val="00BB22D2"/>
    <w:rsid w:val="00BB4BC3"/>
    <w:rsid w:val="00BB760D"/>
    <w:rsid w:val="00BC0E45"/>
    <w:rsid w:val="00BC1D85"/>
    <w:rsid w:val="00BC27B0"/>
    <w:rsid w:val="00BD6DB0"/>
    <w:rsid w:val="00BD6FC7"/>
    <w:rsid w:val="00BE2517"/>
    <w:rsid w:val="00BE4FF0"/>
    <w:rsid w:val="00BF305C"/>
    <w:rsid w:val="00BF33AA"/>
    <w:rsid w:val="00C045C4"/>
    <w:rsid w:val="00C0630C"/>
    <w:rsid w:val="00C13D45"/>
    <w:rsid w:val="00C13FBD"/>
    <w:rsid w:val="00C147CE"/>
    <w:rsid w:val="00C241E0"/>
    <w:rsid w:val="00C24F05"/>
    <w:rsid w:val="00C26A16"/>
    <w:rsid w:val="00C31B08"/>
    <w:rsid w:val="00C326CE"/>
    <w:rsid w:val="00C356FC"/>
    <w:rsid w:val="00C430D6"/>
    <w:rsid w:val="00C50370"/>
    <w:rsid w:val="00C52936"/>
    <w:rsid w:val="00C54354"/>
    <w:rsid w:val="00C5668B"/>
    <w:rsid w:val="00C603CF"/>
    <w:rsid w:val="00C61C3E"/>
    <w:rsid w:val="00C63537"/>
    <w:rsid w:val="00C6491A"/>
    <w:rsid w:val="00C740F3"/>
    <w:rsid w:val="00C75896"/>
    <w:rsid w:val="00C84285"/>
    <w:rsid w:val="00C848DD"/>
    <w:rsid w:val="00C93A53"/>
    <w:rsid w:val="00C94411"/>
    <w:rsid w:val="00C9598C"/>
    <w:rsid w:val="00CA2FF2"/>
    <w:rsid w:val="00CB4DEE"/>
    <w:rsid w:val="00CB7E72"/>
    <w:rsid w:val="00CD1DD1"/>
    <w:rsid w:val="00CD7245"/>
    <w:rsid w:val="00CE3A31"/>
    <w:rsid w:val="00CE4602"/>
    <w:rsid w:val="00CE54DE"/>
    <w:rsid w:val="00CF212B"/>
    <w:rsid w:val="00D04ACC"/>
    <w:rsid w:val="00D11094"/>
    <w:rsid w:val="00D12DA9"/>
    <w:rsid w:val="00D178DA"/>
    <w:rsid w:val="00D22DEA"/>
    <w:rsid w:val="00D22E55"/>
    <w:rsid w:val="00D23242"/>
    <w:rsid w:val="00D24252"/>
    <w:rsid w:val="00D33F78"/>
    <w:rsid w:val="00D35870"/>
    <w:rsid w:val="00D35FF8"/>
    <w:rsid w:val="00D41138"/>
    <w:rsid w:val="00D4183C"/>
    <w:rsid w:val="00D43C42"/>
    <w:rsid w:val="00D4477D"/>
    <w:rsid w:val="00D44EF5"/>
    <w:rsid w:val="00D47B01"/>
    <w:rsid w:val="00D502D0"/>
    <w:rsid w:val="00D526D2"/>
    <w:rsid w:val="00D5685C"/>
    <w:rsid w:val="00D578F3"/>
    <w:rsid w:val="00D61CDD"/>
    <w:rsid w:val="00D6291A"/>
    <w:rsid w:val="00D6474D"/>
    <w:rsid w:val="00D64970"/>
    <w:rsid w:val="00D71E85"/>
    <w:rsid w:val="00D721A0"/>
    <w:rsid w:val="00D7288E"/>
    <w:rsid w:val="00D734B1"/>
    <w:rsid w:val="00D746EA"/>
    <w:rsid w:val="00D81237"/>
    <w:rsid w:val="00D81B35"/>
    <w:rsid w:val="00D82C13"/>
    <w:rsid w:val="00D83F98"/>
    <w:rsid w:val="00D84D40"/>
    <w:rsid w:val="00D87C3F"/>
    <w:rsid w:val="00D87DAA"/>
    <w:rsid w:val="00D902C0"/>
    <w:rsid w:val="00D911DA"/>
    <w:rsid w:val="00D916F6"/>
    <w:rsid w:val="00DA029E"/>
    <w:rsid w:val="00DA59B8"/>
    <w:rsid w:val="00DA6E3F"/>
    <w:rsid w:val="00DA7571"/>
    <w:rsid w:val="00DB074B"/>
    <w:rsid w:val="00DB2391"/>
    <w:rsid w:val="00DB4A31"/>
    <w:rsid w:val="00DB61AD"/>
    <w:rsid w:val="00DC099B"/>
    <w:rsid w:val="00DC74FC"/>
    <w:rsid w:val="00DD1710"/>
    <w:rsid w:val="00DD2FF9"/>
    <w:rsid w:val="00DD3A8E"/>
    <w:rsid w:val="00DD4E87"/>
    <w:rsid w:val="00DD4F95"/>
    <w:rsid w:val="00DE36DB"/>
    <w:rsid w:val="00DE3A8E"/>
    <w:rsid w:val="00DE4324"/>
    <w:rsid w:val="00DE4C26"/>
    <w:rsid w:val="00E02716"/>
    <w:rsid w:val="00E03019"/>
    <w:rsid w:val="00E03B3F"/>
    <w:rsid w:val="00E056FD"/>
    <w:rsid w:val="00E0671F"/>
    <w:rsid w:val="00E06EE2"/>
    <w:rsid w:val="00E072DF"/>
    <w:rsid w:val="00E10785"/>
    <w:rsid w:val="00E10D47"/>
    <w:rsid w:val="00E12E6C"/>
    <w:rsid w:val="00E14808"/>
    <w:rsid w:val="00E15400"/>
    <w:rsid w:val="00E172F5"/>
    <w:rsid w:val="00E176A9"/>
    <w:rsid w:val="00E23F35"/>
    <w:rsid w:val="00E27831"/>
    <w:rsid w:val="00E30D8A"/>
    <w:rsid w:val="00E32ECB"/>
    <w:rsid w:val="00E355AB"/>
    <w:rsid w:val="00E356C5"/>
    <w:rsid w:val="00E43185"/>
    <w:rsid w:val="00E50F4E"/>
    <w:rsid w:val="00E522CE"/>
    <w:rsid w:val="00E536F8"/>
    <w:rsid w:val="00E53ED5"/>
    <w:rsid w:val="00E556A0"/>
    <w:rsid w:val="00E56925"/>
    <w:rsid w:val="00E60642"/>
    <w:rsid w:val="00E627CD"/>
    <w:rsid w:val="00E661F6"/>
    <w:rsid w:val="00E6751C"/>
    <w:rsid w:val="00E73541"/>
    <w:rsid w:val="00E77859"/>
    <w:rsid w:val="00E82F68"/>
    <w:rsid w:val="00E86A1A"/>
    <w:rsid w:val="00E8748E"/>
    <w:rsid w:val="00E91ABB"/>
    <w:rsid w:val="00E922BF"/>
    <w:rsid w:val="00EA1216"/>
    <w:rsid w:val="00EA1A60"/>
    <w:rsid w:val="00EA1EDC"/>
    <w:rsid w:val="00EA2F90"/>
    <w:rsid w:val="00EA5592"/>
    <w:rsid w:val="00EA5EC9"/>
    <w:rsid w:val="00EB1C15"/>
    <w:rsid w:val="00EB1E28"/>
    <w:rsid w:val="00EB1E36"/>
    <w:rsid w:val="00EB39C4"/>
    <w:rsid w:val="00EB48BB"/>
    <w:rsid w:val="00EB5ED8"/>
    <w:rsid w:val="00EB6102"/>
    <w:rsid w:val="00EB6D30"/>
    <w:rsid w:val="00EB7400"/>
    <w:rsid w:val="00EB7979"/>
    <w:rsid w:val="00EC1607"/>
    <w:rsid w:val="00EC28BF"/>
    <w:rsid w:val="00EC3AEB"/>
    <w:rsid w:val="00EC4E21"/>
    <w:rsid w:val="00ED2507"/>
    <w:rsid w:val="00ED28D2"/>
    <w:rsid w:val="00ED3BEC"/>
    <w:rsid w:val="00EE0917"/>
    <w:rsid w:val="00EE163A"/>
    <w:rsid w:val="00EE3948"/>
    <w:rsid w:val="00EF55D0"/>
    <w:rsid w:val="00EF5831"/>
    <w:rsid w:val="00EF5ED0"/>
    <w:rsid w:val="00F00580"/>
    <w:rsid w:val="00F03860"/>
    <w:rsid w:val="00F045BA"/>
    <w:rsid w:val="00F1219D"/>
    <w:rsid w:val="00F12283"/>
    <w:rsid w:val="00F12C7E"/>
    <w:rsid w:val="00F12D08"/>
    <w:rsid w:val="00F142D8"/>
    <w:rsid w:val="00F16A23"/>
    <w:rsid w:val="00F17CE5"/>
    <w:rsid w:val="00F22BE6"/>
    <w:rsid w:val="00F23270"/>
    <w:rsid w:val="00F235D3"/>
    <w:rsid w:val="00F2384E"/>
    <w:rsid w:val="00F2448F"/>
    <w:rsid w:val="00F25689"/>
    <w:rsid w:val="00F26144"/>
    <w:rsid w:val="00F26222"/>
    <w:rsid w:val="00F27141"/>
    <w:rsid w:val="00F34E42"/>
    <w:rsid w:val="00F41D54"/>
    <w:rsid w:val="00F43D7C"/>
    <w:rsid w:val="00F510FA"/>
    <w:rsid w:val="00F55F48"/>
    <w:rsid w:val="00F5681A"/>
    <w:rsid w:val="00F601A7"/>
    <w:rsid w:val="00F61CE7"/>
    <w:rsid w:val="00F6581A"/>
    <w:rsid w:val="00F65925"/>
    <w:rsid w:val="00F66641"/>
    <w:rsid w:val="00F66AEF"/>
    <w:rsid w:val="00F71F9A"/>
    <w:rsid w:val="00F738A6"/>
    <w:rsid w:val="00F82EE9"/>
    <w:rsid w:val="00F85F23"/>
    <w:rsid w:val="00F87E50"/>
    <w:rsid w:val="00F901B4"/>
    <w:rsid w:val="00F94852"/>
    <w:rsid w:val="00FA032E"/>
    <w:rsid w:val="00FA175E"/>
    <w:rsid w:val="00FB2158"/>
    <w:rsid w:val="00FB39FE"/>
    <w:rsid w:val="00FC5A0F"/>
    <w:rsid w:val="00FC6BDD"/>
    <w:rsid w:val="00FC7BA2"/>
    <w:rsid w:val="00FD2940"/>
    <w:rsid w:val="00FD7FBF"/>
    <w:rsid w:val="00FE19B2"/>
    <w:rsid w:val="00FE35C1"/>
    <w:rsid w:val="00FE4E34"/>
    <w:rsid w:val="00FF6BB1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D94AE"/>
  <w15:chartTrackingRefBased/>
  <w15:docId w15:val="{BD34FAE6-0C0E-4066-BE65-4B8B8BEB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2BE"/>
    <w:pPr>
      <w:spacing w:before="60" w:after="60" w:line="280" w:lineRule="atLeast"/>
    </w:pPr>
    <w:rPr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9F7940"/>
    <w:pPr>
      <w:keepNext/>
      <w:spacing w:before="360" w:after="120" w:line="360" w:lineRule="atLeast"/>
      <w:outlineLvl w:val="0"/>
    </w:pPr>
    <w:rPr>
      <w:rFonts w:eastAsia="Times New Roman"/>
      <w:bCs/>
      <w:color w:val="B01717"/>
      <w:kern w:val="32"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qFormat/>
    <w:rsid w:val="009F7940"/>
    <w:pPr>
      <w:keepNext/>
      <w:spacing w:before="360" w:after="120" w:line="360" w:lineRule="atLeast"/>
      <w:outlineLvl w:val="1"/>
    </w:pPr>
    <w:rPr>
      <w:rFonts w:eastAsia="Times New Roman"/>
      <w:bCs/>
      <w:iCs/>
      <w:color w:val="B01717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F7940"/>
    <w:pPr>
      <w:keepNext/>
      <w:spacing w:before="360" w:after="120" w:line="300" w:lineRule="atLeast"/>
      <w:outlineLvl w:val="2"/>
    </w:pPr>
    <w:rPr>
      <w:rFonts w:eastAsia="Times New Roman"/>
      <w:bCs/>
      <w:color w:val="B01717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9F7940"/>
    <w:pPr>
      <w:outlineLvl w:val="3"/>
    </w:pPr>
    <w:rPr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940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HeaderChar">
    <w:name w:val="Header Char"/>
    <w:link w:val="Header"/>
    <w:uiPriority w:val="99"/>
    <w:rsid w:val="009F794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F7940"/>
  </w:style>
  <w:style w:type="character" w:customStyle="1" w:styleId="FooterChar">
    <w:name w:val="Footer Char"/>
    <w:link w:val="Footer"/>
    <w:uiPriority w:val="99"/>
    <w:rsid w:val="009F7940"/>
    <w:rPr>
      <w:rFonts w:eastAsia="Calibri"/>
      <w:sz w:val="20"/>
    </w:rPr>
  </w:style>
  <w:style w:type="paragraph" w:customStyle="1" w:styleId="Bannerheadingfirstpage">
    <w:name w:val="Banner heading (first page)"/>
    <w:basedOn w:val="Header"/>
    <w:link w:val="BannerheadingfirstpageChar"/>
    <w:rsid w:val="00FB2158"/>
    <w:pPr>
      <w:pBdr>
        <w:bottom w:val="single" w:sz="8" w:space="1" w:color="A6A6A6"/>
      </w:pBdr>
      <w:tabs>
        <w:tab w:val="clear" w:pos="4513"/>
        <w:tab w:val="clear" w:pos="9026"/>
        <w:tab w:val="left" w:pos="2835"/>
      </w:tabs>
      <w:spacing w:before="720" w:after="240"/>
      <w:ind w:left="2835" w:hanging="2835"/>
      <w:jc w:val="center"/>
    </w:pPr>
    <w:rPr>
      <w:color w:val="B01717"/>
      <w:sz w:val="32"/>
    </w:rPr>
  </w:style>
  <w:style w:type="character" w:customStyle="1" w:styleId="BannerheadingfirstpageChar">
    <w:name w:val="Banner heading (first page) Char"/>
    <w:link w:val="Bannerheadingfirstpage"/>
    <w:rsid w:val="00FB2158"/>
    <w:rPr>
      <w:rFonts w:eastAsia="Calibri" w:cs="Times New Roman"/>
      <w:color w:val="B01717"/>
      <w:sz w:val="32"/>
    </w:rPr>
  </w:style>
  <w:style w:type="paragraph" w:customStyle="1" w:styleId="Bannerheadingcontinuationpages">
    <w:name w:val="Banner heading (continuation pages)"/>
    <w:basedOn w:val="Bannerheadingfirstpage"/>
    <w:link w:val="BannerheadingcontinuationpagesChar"/>
    <w:qFormat/>
    <w:rsid w:val="00D44EF5"/>
    <w:pPr>
      <w:spacing w:before="60" w:after="60" w:line="280" w:lineRule="atLeast"/>
      <w:jc w:val="right"/>
    </w:pPr>
  </w:style>
  <w:style w:type="character" w:customStyle="1" w:styleId="BannerheadingcontinuationpagesChar">
    <w:name w:val="Banner heading (continuation pages) Char"/>
    <w:link w:val="Bannerheadingcontinuationpages"/>
    <w:rsid w:val="00D44EF5"/>
    <w:rPr>
      <w:rFonts w:eastAsia="Calibri" w:cs="Times New Roman"/>
      <w:color w:val="B01717"/>
      <w:sz w:val="32"/>
    </w:rPr>
  </w:style>
  <w:style w:type="paragraph" w:customStyle="1" w:styleId="Tablebullets">
    <w:name w:val="Table bullets"/>
    <w:basedOn w:val="Normal"/>
    <w:link w:val="TablebulletsChar"/>
    <w:qFormat/>
    <w:rsid w:val="009F7940"/>
    <w:pPr>
      <w:numPr>
        <w:numId w:val="24"/>
      </w:numPr>
      <w:tabs>
        <w:tab w:val="left" w:pos="284"/>
      </w:tabs>
      <w:spacing w:before="40" w:after="40" w:line="240" w:lineRule="atLeast"/>
    </w:pPr>
  </w:style>
  <w:style w:type="paragraph" w:customStyle="1" w:styleId="Tablesub-bullets">
    <w:name w:val="Table sub-bullets"/>
    <w:basedOn w:val="Normal"/>
    <w:link w:val="Tablesub-bulletsChar"/>
    <w:qFormat/>
    <w:rsid w:val="009F7940"/>
    <w:pPr>
      <w:numPr>
        <w:numId w:val="28"/>
      </w:numPr>
      <w:tabs>
        <w:tab w:val="left" w:pos="567"/>
      </w:tabs>
      <w:spacing w:before="40" w:after="40" w:line="240" w:lineRule="atLeast"/>
    </w:pPr>
    <w:rPr>
      <w:szCs w:val="20"/>
    </w:rPr>
  </w:style>
  <w:style w:type="paragraph" w:customStyle="1" w:styleId="Tabletext">
    <w:name w:val="Table text"/>
    <w:basedOn w:val="Normal"/>
    <w:link w:val="TabletextChar"/>
    <w:qFormat/>
    <w:rsid w:val="009F7940"/>
    <w:pPr>
      <w:spacing w:before="40" w:after="40" w:line="240" w:lineRule="atLeast"/>
    </w:pPr>
  </w:style>
  <w:style w:type="paragraph" w:customStyle="1" w:styleId="Tabletextbold">
    <w:name w:val="Table text bold"/>
    <w:basedOn w:val="Tabletext"/>
    <w:qFormat/>
    <w:rsid w:val="009F7940"/>
    <w:rPr>
      <w:b/>
    </w:rPr>
  </w:style>
  <w:style w:type="character" w:customStyle="1" w:styleId="TabletextChar">
    <w:name w:val="Table text Char"/>
    <w:link w:val="Tabletext"/>
    <w:rsid w:val="009F7940"/>
    <w:rPr>
      <w:rFonts w:eastAsia="Calibri"/>
      <w:sz w:val="20"/>
    </w:rPr>
  </w:style>
  <w:style w:type="character" w:customStyle="1" w:styleId="Tablesub-bulletsChar">
    <w:name w:val="Table sub-bullets Char"/>
    <w:link w:val="Tablesub-bullets"/>
    <w:rsid w:val="009F7940"/>
    <w:rPr>
      <w:rFonts w:eastAsia="Calibri"/>
      <w:sz w:val="20"/>
      <w:szCs w:val="20"/>
    </w:rPr>
  </w:style>
  <w:style w:type="character" w:customStyle="1" w:styleId="TablebulletsChar">
    <w:name w:val="Table bullets Char"/>
    <w:link w:val="Tablebullets"/>
    <w:rsid w:val="009F7940"/>
    <w:rPr>
      <w:rFonts w:eastAsia="Calibri"/>
      <w:sz w:val="20"/>
    </w:rPr>
  </w:style>
  <w:style w:type="table" w:customStyle="1" w:styleId="Adhoctable1">
    <w:name w:val="Ad hoc table 1"/>
    <w:basedOn w:val="TableNormal"/>
    <w:uiPriority w:val="99"/>
    <w:qFormat/>
    <w:rsid w:val="00361F9F"/>
    <w:tblPr>
      <w:tblBorders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  <w:insideH w:val="single" w:sz="36" w:space="0" w:color="FFFFFF"/>
        <w:insideV w:val="single" w:sz="36" w:space="0" w:color="FFFFFF"/>
      </w:tblBorders>
    </w:tblPr>
    <w:tcPr>
      <w:shd w:val="pct10" w:color="auto" w:fill="auto"/>
    </w:tcPr>
    <w:tblStylePr w:type="firstRow">
      <w:rPr>
        <w:rFonts w:ascii="Arial" w:hAnsi="Arial"/>
        <w:b w:val="0"/>
        <w:color w:val="auto"/>
        <w:sz w:val="20"/>
      </w:rPr>
      <w:tblPr/>
      <w:tcPr>
        <w:shd w:val="clear" w:color="auto" w:fill="B01717"/>
      </w:tcPr>
    </w:tblStylePr>
  </w:style>
  <w:style w:type="table" w:customStyle="1" w:styleId="Adhoctable2">
    <w:name w:val="Ad hoc table 2"/>
    <w:basedOn w:val="TableNormal"/>
    <w:uiPriority w:val="99"/>
    <w:qFormat/>
    <w:rsid w:val="009F7940"/>
    <w:tblPr>
      <w:tblBorders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  <w:insideH w:val="single" w:sz="36" w:space="0" w:color="FFFFFF"/>
        <w:insideV w:val="single" w:sz="36" w:space="0" w:color="FFFFFF"/>
      </w:tblBorders>
    </w:tblPr>
    <w:tcPr>
      <w:shd w:val="pct10" w:color="auto" w:fill="auto"/>
    </w:tcPr>
    <w:tblStylePr w:type="firstRow">
      <w:rPr>
        <w:rFonts w:ascii="Arial" w:hAnsi="Arial"/>
        <w:b w:val="0"/>
        <w:color w:val="auto"/>
        <w:sz w:val="20"/>
      </w:rPr>
      <w:tblPr/>
      <w:tcPr>
        <w:shd w:val="clear" w:color="auto" w:fill="B01717"/>
      </w:tcPr>
    </w:tblStylePr>
    <w:tblStylePr w:type="firstCol">
      <w:rPr>
        <w:rFonts w:ascii="Arial" w:hAnsi="Arial"/>
        <w:b w:val="0"/>
        <w:color w:val="000000"/>
        <w:sz w:val="20"/>
      </w:rPr>
      <w:tblPr/>
      <w:tcPr>
        <w:tc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nil"/>
          <w:insideV w:val="nil"/>
          <w:tl2br w:val="nil"/>
          <w:tr2bl w:val="nil"/>
        </w:tcBorders>
        <w:shd w:val="pct20" w:color="auto" w:fill="auto"/>
      </w:tcPr>
    </w:tblStylePr>
  </w:style>
  <w:style w:type="paragraph" w:customStyle="1" w:styleId="APrecommendationbullets">
    <w:name w:val="AP recommendation bullets"/>
    <w:basedOn w:val="Normal"/>
    <w:qFormat/>
    <w:rsid w:val="009F7940"/>
    <w:pPr>
      <w:numPr>
        <w:numId w:val="18"/>
      </w:numPr>
      <w:tabs>
        <w:tab w:val="left" w:pos="737"/>
      </w:tabs>
      <w:spacing w:before="40" w:after="40" w:line="240" w:lineRule="atLeast"/>
    </w:pPr>
    <w:rPr>
      <w:rFonts w:cs="Arial"/>
    </w:rPr>
  </w:style>
  <w:style w:type="paragraph" w:customStyle="1" w:styleId="APrecommendationsub-bullets">
    <w:name w:val="AP recommendation sub-bullets"/>
    <w:basedOn w:val="Normal"/>
    <w:qFormat/>
    <w:rsid w:val="009F7940"/>
    <w:pPr>
      <w:numPr>
        <w:numId w:val="19"/>
      </w:numPr>
      <w:tabs>
        <w:tab w:val="left" w:pos="1021"/>
      </w:tabs>
      <w:spacing w:before="40" w:after="40" w:line="240" w:lineRule="atLeast"/>
    </w:pPr>
  </w:style>
  <w:style w:type="paragraph" w:customStyle="1" w:styleId="APrecommendationtext">
    <w:name w:val="AP recommendation text"/>
    <w:basedOn w:val="Tabletext"/>
    <w:qFormat/>
    <w:rsid w:val="009F7940"/>
    <w:pPr>
      <w:tabs>
        <w:tab w:val="left" w:pos="454"/>
      </w:tabs>
      <w:ind w:left="454" w:hanging="454"/>
    </w:pPr>
  </w:style>
  <w:style w:type="paragraph" w:customStyle="1" w:styleId="Appendixbullets">
    <w:name w:val="Appendix bullets"/>
    <w:basedOn w:val="Normal"/>
    <w:qFormat/>
    <w:rsid w:val="009F7940"/>
    <w:pPr>
      <w:numPr>
        <w:numId w:val="20"/>
      </w:numPr>
      <w:tabs>
        <w:tab w:val="left" w:pos="567"/>
      </w:tabs>
    </w:pPr>
    <w:rPr>
      <w:sz w:val="22"/>
    </w:rPr>
  </w:style>
  <w:style w:type="paragraph" w:customStyle="1" w:styleId="Appendixsub-bullets">
    <w:name w:val="Appendix sub-bullets"/>
    <w:basedOn w:val="Normal"/>
    <w:qFormat/>
    <w:rsid w:val="009F7940"/>
    <w:pPr>
      <w:numPr>
        <w:numId w:val="21"/>
      </w:numPr>
      <w:tabs>
        <w:tab w:val="left" w:pos="1134"/>
      </w:tabs>
    </w:pPr>
    <w:rPr>
      <w:sz w:val="22"/>
    </w:rPr>
  </w:style>
  <w:style w:type="paragraph" w:customStyle="1" w:styleId="Auditteamtext">
    <w:name w:val="Audit team text"/>
    <w:basedOn w:val="Normal"/>
    <w:qFormat/>
    <w:rsid w:val="009F7940"/>
    <w:pPr>
      <w:spacing w:before="1080"/>
      <w:jc w:val="center"/>
    </w:pPr>
    <w:rPr>
      <w:rFonts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940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link w:val="BulletsChar"/>
    <w:qFormat/>
    <w:rsid w:val="009F7940"/>
    <w:pPr>
      <w:numPr>
        <w:numId w:val="22"/>
      </w:numPr>
      <w:tabs>
        <w:tab w:val="left" w:pos="1134"/>
      </w:tabs>
    </w:pPr>
    <w:rPr>
      <w:sz w:val="22"/>
    </w:rPr>
  </w:style>
  <w:style w:type="character" w:customStyle="1" w:styleId="BulletsChar">
    <w:name w:val="Bullets Char"/>
    <w:link w:val="Bullets"/>
    <w:rsid w:val="009F7940"/>
    <w:rPr>
      <w:rFonts w:eastAsia="Calibri"/>
    </w:rPr>
  </w:style>
  <w:style w:type="paragraph" w:customStyle="1" w:styleId="Contentsheading">
    <w:name w:val="Contents heading"/>
    <w:basedOn w:val="Normal"/>
    <w:link w:val="ContentsheadingChar"/>
    <w:qFormat/>
    <w:rsid w:val="009F7940"/>
    <w:pPr>
      <w:spacing w:before="120" w:after="120"/>
    </w:pPr>
    <w:rPr>
      <w:b/>
      <w:color w:val="B02020"/>
      <w:sz w:val="22"/>
    </w:rPr>
  </w:style>
  <w:style w:type="character" w:customStyle="1" w:styleId="ContentsheadingChar">
    <w:name w:val="Contents heading Char"/>
    <w:link w:val="Contentsheading"/>
    <w:rsid w:val="009F7940"/>
    <w:rPr>
      <w:rFonts w:eastAsia="Calibri"/>
      <w:b/>
      <w:color w:val="B02020"/>
    </w:rPr>
  </w:style>
  <w:style w:type="paragraph" w:customStyle="1" w:styleId="Contentsheading1">
    <w:name w:val="Contents heading 1"/>
    <w:basedOn w:val="Normal"/>
    <w:link w:val="Contentsheading1Char"/>
    <w:qFormat/>
    <w:rsid w:val="009F7940"/>
    <w:pPr>
      <w:spacing w:before="120" w:after="120"/>
    </w:pPr>
    <w:rPr>
      <w:sz w:val="22"/>
    </w:rPr>
  </w:style>
  <w:style w:type="character" w:customStyle="1" w:styleId="Contentsheading1Char">
    <w:name w:val="Contents heading 1 Char"/>
    <w:link w:val="Contentsheading1"/>
    <w:rsid w:val="009F7940"/>
    <w:rPr>
      <w:rFonts w:eastAsia="Calibri"/>
    </w:rPr>
  </w:style>
  <w:style w:type="paragraph" w:customStyle="1" w:styleId="Contentsheading2">
    <w:name w:val="Contents heading 2"/>
    <w:basedOn w:val="Normal"/>
    <w:qFormat/>
    <w:rsid w:val="009F7940"/>
    <w:pPr>
      <w:spacing w:before="120" w:after="120"/>
      <w:ind w:left="567"/>
    </w:pPr>
    <w:rPr>
      <w:sz w:val="22"/>
    </w:rPr>
  </w:style>
  <w:style w:type="paragraph" w:customStyle="1" w:styleId="Contentssectionheading">
    <w:name w:val="Contents section heading"/>
    <w:basedOn w:val="Normal"/>
    <w:link w:val="ContentssectionheadingChar"/>
    <w:qFormat/>
    <w:rsid w:val="009F7940"/>
    <w:pPr>
      <w:spacing w:before="120" w:after="120"/>
    </w:pPr>
    <w:rPr>
      <w:color w:val="B01717"/>
      <w:sz w:val="22"/>
    </w:rPr>
  </w:style>
  <w:style w:type="character" w:customStyle="1" w:styleId="ContentssectionheadingChar">
    <w:name w:val="Contents section heading Char"/>
    <w:link w:val="Contentssectionheading"/>
    <w:rsid w:val="009F7940"/>
    <w:rPr>
      <w:rFonts w:eastAsia="Calibri"/>
      <w:color w:val="B01717"/>
    </w:rPr>
  </w:style>
  <w:style w:type="paragraph" w:customStyle="1" w:styleId="Exhibitheading">
    <w:name w:val="Exhibit heading"/>
    <w:basedOn w:val="Normal"/>
    <w:next w:val="Normal"/>
    <w:link w:val="ExhibitheadingChar"/>
    <w:qFormat/>
    <w:rsid w:val="009F7940"/>
    <w:pPr>
      <w:spacing w:before="360" w:after="120" w:line="300" w:lineRule="atLeast"/>
      <w:ind w:left="567"/>
    </w:pPr>
    <w:rPr>
      <w:color w:val="B01717"/>
      <w:sz w:val="22"/>
    </w:rPr>
  </w:style>
  <w:style w:type="character" w:customStyle="1" w:styleId="ExhibitheadingChar">
    <w:name w:val="Exhibit heading Char"/>
    <w:link w:val="Exhibitheading"/>
    <w:rsid w:val="009F7940"/>
    <w:rPr>
      <w:rFonts w:eastAsia="Calibri"/>
      <w:color w:val="B01717"/>
    </w:rPr>
  </w:style>
  <w:style w:type="paragraph" w:customStyle="1" w:styleId="Exhibitsource">
    <w:name w:val="Exhibit source"/>
    <w:basedOn w:val="Normal"/>
    <w:link w:val="ExhibitsourceChar"/>
    <w:qFormat/>
    <w:rsid w:val="009F7940"/>
    <w:pPr>
      <w:spacing w:before="120" w:after="120"/>
      <w:ind w:left="567"/>
    </w:pPr>
    <w:rPr>
      <w:i/>
      <w:sz w:val="22"/>
    </w:rPr>
  </w:style>
  <w:style w:type="character" w:customStyle="1" w:styleId="ExhibitsourceChar">
    <w:name w:val="Exhibit source Char"/>
    <w:link w:val="Exhibitsource"/>
    <w:rsid w:val="009F7940"/>
    <w:rPr>
      <w:rFonts w:eastAsia="Calibri"/>
      <w:i/>
    </w:rPr>
  </w:style>
  <w:style w:type="paragraph" w:customStyle="1" w:styleId="Exhibittext">
    <w:name w:val="Exhibit text"/>
    <w:basedOn w:val="Normal"/>
    <w:qFormat/>
    <w:rsid w:val="009F7940"/>
    <w:pPr>
      <w:spacing w:after="120"/>
      <w:ind w:left="567"/>
    </w:pPr>
    <w:rPr>
      <w:sz w:val="22"/>
    </w:rPr>
  </w:style>
  <w:style w:type="character" w:customStyle="1" w:styleId="Heading1Char">
    <w:name w:val="Heading 1 Char"/>
    <w:link w:val="Heading1"/>
    <w:uiPriority w:val="9"/>
    <w:rsid w:val="009F7940"/>
    <w:rPr>
      <w:rFonts w:eastAsia="Times New Roman"/>
      <w:bCs/>
      <w:color w:val="B01717"/>
      <w:kern w:val="32"/>
      <w:sz w:val="36"/>
      <w:szCs w:val="36"/>
    </w:rPr>
  </w:style>
  <w:style w:type="character" w:customStyle="1" w:styleId="Heading2Char">
    <w:name w:val="Heading 2 Char"/>
    <w:link w:val="Heading2"/>
    <w:uiPriority w:val="9"/>
    <w:rsid w:val="009F7940"/>
    <w:rPr>
      <w:rFonts w:eastAsia="Times New Roman"/>
      <w:bCs/>
      <w:iCs/>
      <w:color w:val="B01717"/>
      <w:sz w:val="28"/>
      <w:szCs w:val="28"/>
    </w:rPr>
  </w:style>
  <w:style w:type="character" w:customStyle="1" w:styleId="Heading3Char">
    <w:name w:val="Heading 3 Char"/>
    <w:link w:val="Heading3"/>
    <w:uiPriority w:val="9"/>
    <w:rsid w:val="009F7940"/>
    <w:rPr>
      <w:rFonts w:eastAsia="Times New Roman"/>
      <w:bCs/>
      <w:color w:val="B01717"/>
    </w:rPr>
  </w:style>
  <w:style w:type="character" w:customStyle="1" w:styleId="Heading4Char">
    <w:name w:val="Heading 4 Char"/>
    <w:link w:val="Heading4"/>
    <w:uiPriority w:val="9"/>
    <w:rsid w:val="009F7940"/>
    <w:rPr>
      <w:rFonts w:eastAsia="Times New Roman"/>
      <w:b/>
      <w:bCs/>
    </w:rPr>
  </w:style>
  <w:style w:type="table" w:customStyle="1" w:styleId="Localreporttable1">
    <w:name w:val="Local report table 1"/>
    <w:basedOn w:val="TableNormal"/>
    <w:uiPriority w:val="99"/>
    <w:qFormat/>
    <w:rsid w:val="009F7940"/>
    <w:tblPr>
      <w:tblBorders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  <w:insideH w:val="single" w:sz="36" w:space="0" w:color="FFFFFF"/>
        <w:insideV w:val="single" w:sz="36" w:space="0" w:color="FFFFFF"/>
      </w:tblBorders>
    </w:tblPr>
    <w:tcPr>
      <w:shd w:val="pct10" w:color="auto" w:fill="auto"/>
    </w:tcPr>
    <w:tblStylePr w:type="firstRow">
      <w:rPr>
        <w:rFonts w:ascii="Arial" w:hAnsi="Arial"/>
        <w:b w:val="0"/>
        <w:color w:val="auto"/>
        <w:sz w:val="20"/>
      </w:rPr>
      <w:tblPr/>
      <w:tcPr>
        <w:shd w:val="clear" w:color="auto" w:fill="B01717"/>
      </w:tcPr>
    </w:tblStylePr>
  </w:style>
  <w:style w:type="paragraph" w:customStyle="1" w:styleId="Numberedtext">
    <w:name w:val="Numbered text"/>
    <w:basedOn w:val="Normal"/>
    <w:link w:val="NumberedtextChar"/>
    <w:qFormat/>
    <w:rsid w:val="009F7940"/>
    <w:pPr>
      <w:numPr>
        <w:numId w:val="23"/>
      </w:numPr>
    </w:pPr>
    <w:rPr>
      <w:rFonts w:cs="Arial"/>
      <w:sz w:val="22"/>
    </w:rPr>
  </w:style>
  <w:style w:type="character" w:customStyle="1" w:styleId="NumberedtextChar">
    <w:name w:val="Numbered text Char"/>
    <w:link w:val="Numberedtext"/>
    <w:rsid w:val="009F7940"/>
    <w:rPr>
      <w:rFonts w:eastAsia="Calibri" w:cs="Arial"/>
    </w:rPr>
  </w:style>
  <w:style w:type="character" w:styleId="PlaceholderText">
    <w:name w:val="Placeholder Text"/>
    <w:uiPriority w:val="99"/>
    <w:semiHidden/>
    <w:rsid w:val="009F7940"/>
    <w:rPr>
      <w:color w:val="808080"/>
    </w:rPr>
  </w:style>
  <w:style w:type="paragraph" w:customStyle="1" w:styleId="Recommendationbullets">
    <w:name w:val="Recommendation bullets"/>
    <w:basedOn w:val="Tablebullets"/>
    <w:qFormat/>
    <w:rsid w:val="009F7940"/>
    <w:pPr>
      <w:numPr>
        <w:numId w:val="25"/>
      </w:numPr>
      <w:tabs>
        <w:tab w:val="clear" w:pos="284"/>
        <w:tab w:val="left" w:pos="1134"/>
      </w:tabs>
      <w:spacing w:line="260" w:lineRule="atLeast"/>
    </w:pPr>
  </w:style>
  <w:style w:type="paragraph" w:customStyle="1" w:styleId="Recommendationheading">
    <w:name w:val="Recommendation heading"/>
    <w:basedOn w:val="Tabletextbold"/>
    <w:qFormat/>
    <w:rsid w:val="009F7940"/>
    <w:pPr>
      <w:spacing w:before="60" w:after="60" w:line="260" w:lineRule="atLeast"/>
    </w:pPr>
  </w:style>
  <w:style w:type="paragraph" w:customStyle="1" w:styleId="Recommendationsub-bullets">
    <w:name w:val="Recommendation sub-bullets"/>
    <w:basedOn w:val="Normal"/>
    <w:qFormat/>
    <w:rsid w:val="009F7940"/>
    <w:pPr>
      <w:numPr>
        <w:numId w:val="26"/>
      </w:numPr>
      <w:tabs>
        <w:tab w:val="left" w:pos="1701"/>
      </w:tabs>
      <w:spacing w:before="40" w:after="40" w:line="260" w:lineRule="atLeast"/>
    </w:pPr>
  </w:style>
  <w:style w:type="table" w:customStyle="1" w:styleId="Recommendationtable">
    <w:name w:val="Recommendation table"/>
    <w:basedOn w:val="TableNormal"/>
    <w:uiPriority w:val="99"/>
    <w:qFormat/>
    <w:rsid w:val="009F7940"/>
    <w:tblPr>
      <w:tblBorders>
        <w:top w:val="single" w:sz="36" w:space="0" w:color="FFFFFF"/>
        <w:bottom w:val="single" w:sz="24" w:space="0" w:color="B01717"/>
        <w:insideH w:val="single" w:sz="36" w:space="0" w:color="FFFFFF"/>
        <w:insideV w:val="single" w:sz="36" w:space="0" w:color="FFFFFF"/>
      </w:tblBorders>
    </w:tblPr>
    <w:tcPr>
      <w:shd w:val="pct10" w:color="auto" w:fill="auto"/>
    </w:tcPr>
    <w:tblStylePr w:type="firstRow">
      <w:rPr>
        <w:rFonts w:ascii="Arial" w:hAnsi="Arial"/>
        <w:b w:val="0"/>
        <w:color w:val="auto"/>
        <w:sz w:val="20"/>
      </w:rPr>
      <w:tblPr/>
      <w:tcPr>
        <w:tcBorders>
          <w:top w:val="single" w:sz="24" w:space="0" w:color="B01717"/>
          <w:left w:val="nil"/>
          <w:bottom w:val="single" w:sz="36" w:space="0" w:color="FFFFFF"/>
          <w:right w:val="nil"/>
          <w:insideH w:val="nil"/>
          <w:insideV w:val="single" w:sz="36" w:space="0" w:color="FFFFFF"/>
          <w:tl2br w:val="nil"/>
          <w:tr2bl w:val="nil"/>
        </w:tcBorders>
        <w:shd w:val="pct10" w:color="auto" w:fill="auto"/>
      </w:tcPr>
    </w:tblStylePr>
  </w:style>
  <w:style w:type="paragraph" w:customStyle="1" w:styleId="Recommendationtext">
    <w:name w:val="Recommendation text"/>
    <w:basedOn w:val="Tabletext"/>
    <w:qFormat/>
    <w:rsid w:val="009F7940"/>
    <w:pPr>
      <w:tabs>
        <w:tab w:val="left" w:pos="567"/>
      </w:tabs>
      <w:spacing w:before="60" w:after="60" w:line="260" w:lineRule="atLeast"/>
      <w:ind w:left="567" w:hanging="567"/>
    </w:pPr>
  </w:style>
  <w:style w:type="paragraph" w:customStyle="1" w:styleId="Statusofreporttext">
    <w:name w:val="Status of report text"/>
    <w:basedOn w:val="Normal"/>
    <w:qFormat/>
    <w:rsid w:val="009F7940"/>
    <w:pPr>
      <w:autoSpaceDE w:val="0"/>
      <w:autoSpaceDN w:val="0"/>
      <w:adjustRightInd w:val="0"/>
      <w:spacing w:before="240" w:after="240"/>
      <w:jc w:val="center"/>
    </w:pPr>
    <w:rPr>
      <w:rFonts w:cs="Arial"/>
      <w:sz w:val="22"/>
      <w:szCs w:val="18"/>
    </w:rPr>
  </w:style>
  <w:style w:type="paragraph" w:customStyle="1" w:styleId="Sub-bullets">
    <w:name w:val="Sub-bullets"/>
    <w:basedOn w:val="Normal"/>
    <w:link w:val="Sub-bulletsChar"/>
    <w:qFormat/>
    <w:rsid w:val="009F7940"/>
    <w:pPr>
      <w:numPr>
        <w:numId w:val="27"/>
      </w:numPr>
      <w:tabs>
        <w:tab w:val="left" w:pos="1701"/>
      </w:tabs>
    </w:pPr>
    <w:rPr>
      <w:sz w:val="22"/>
    </w:rPr>
  </w:style>
  <w:style w:type="character" w:customStyle="1" w:styleId="Sub-bulletsChar">
    <w:name w:val="Sub-bullets Char"/>
    <w:link w:val="Sub-bullets"/>
    <w:rsid w:val="009F7940"/>
    <w:rPr>
      <w:rFonts w:eastAsia="Calibri"/>
    </w:rPr>
  </w:style>
  <w:style w:type="table" w:styleId="TableGrid">
    <w:name w:val="Table Grid"/>
    <w:basedOn w:val="TableNormal"/>
    <w:uiPriority w:val="59"/>
    <w:rsid w:val="009F794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link w:val="TableheadingChar"/>
    <w:qFormat/>
    <w:rsid w:val="00DE4324"/>
    <w:pPr>
      <w:spacing w:before="40" w:after="40" w:line="240" w:lineRule="atLeast"/>
    </w:pPr>
    <w:rPr>
      <w:b/>
      <w:color w:val="FFFFFF"/>
      <w:sz w:val="18"/>
      <w:szCs w:val="20"/>
      <w:lang w:eastAsia="en-GB"/>
    </w:rPr>
  </w:style>
  <w:style w:type="character" w:customStyle="1" w:styleId="TableheadingChar">
    <w:name w:val="Table heading Char"/>
    <w:link w:val="Tableheading"/>
    <w:rsid w:val="00DE4324"/>
    <w:rPr>
      <w:rFonts w:eastAsia="Calibri"/>
      <w:b/>
      <w:color w:val="FFFFFF"/>
      <w:sz w:val="18"/>
      <w:szCs w:val="20"/>
      <w:lang w:eastAsia="en-GB"/>
    </w:rPr>
  </w:style>
  <w:style w:type="character" w:styleId="Hyperlink">
    <w:name w:val="Hyperlink"/>
    <w:rsid w:val="006C42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3E9C"/>
    <w:pPr>
      <w:spacing w:before="0" w:after="0" w:line="240" w:lineRule="auto"/>
      <w:ind w:left="720"/>
      <w:contextualSpacing/>
    </w:pPr>
    <w:rPr>
      <w:rFonts w:eastAsia="Times New Roman"/>
      <w:sz w:val="22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2C45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C4503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rsid w:val="002C450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5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4503"/>
    <w:rPr>
      <w:rFonts w:cs="Times New Roman"/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5CCD"/>
    <w:pPr>
      <w:pBdr>
        <w:bottom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055CCD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5CCD"/>
    <w:pPr>
      <w:pBdr>
        <w:top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055CCD"/>
    <w:rPr>
      <w:rFonts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B51BD2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-evans\AppData\Local\Microsoft\Windows\Temporary%20Internet%20Files\Content.Outlook\HVD8626O\Annual_Return_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0b401-02f1-4e72-a7f4-254a04188f7c">
      <Terms xmlns="http://schemas.microsoft.com/office/infopath/2007/PartnerControls"/>
    </lcf76f155ced4ddcb4097134ff3c332f>
    <TaxCatchAll xmlns="955c92a2-ec27-403e-862c-d2c4f2cbdd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6ABD445518A43B3AC9E2170FDF38C" ma:contentTypeVersion="18" ma:contentTypeDescription="Create a new document." ma:contentTypeScope="" ma:versionID="457ac0ce91728a5f3efefcbb9669b6ea">
  <xsd:schema xmlns:xsd="http://www.w3.org/2001/XMLSchema" xmlns:xs="http://www.w3.org/2001/XMLSchema" xmlns:p="http://schemas.microsoft.com/office/2006/metadata/properties" xmlns:ns2="4530b401-02f1-4e72-a7f4-254a04188f7c" xmlns:ns3="955c92a2-ec27-403e-862c-d2c4f2cbdd48" targetNamespace="http://schemas.microsoft.com/office/2006/metadata/properties" ma:root="true" ma:fieldsID="615c646545eaca8ec40d34989e9727b0" ns2:_="" ns3:_="">
    <xsd:import namespace="4530b401-02f1-4e72-a7f4-254a04188f7c"/>
    <xsd:import namespace="955c92a2-ec27-403e-862c-d2c4f2cbd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401-02f1-4e72-a7f4-254a0418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1789b42-5f09-4cdd-b8d4-d1e110464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c92a2-ec27-403e-862c-d2c4f2cbdd4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f60ad0-3d39-4597-98b9-340ac570dec0}" ma:internalName="TaxCatchAll" ma:showField="CatchAllData" ma:web="955c92a2-ec27-403e-862c-d2c4f2cbd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D912-8DAA-4549-B981-D8292276ED17}">
  <ds:schemaRefs>
    <ds:schemaRef ds:uri="http://schemas.microsoft.com/office/2006/metadata/properties"/>
    <ds:schemaRef ds:uri="http://schemas.microsoft.com/office/infopath/2007/PartnerControls"/>
    <ds:schemaRef ds:uri="4530b401-02f1-4e72-a7f4-254a04188f7c"/>
    <ds:schemaRef ds:uri="955c92a2-ec27-403e-862c-d2c4f2cbdd48"/>
  </ds:schemaRefs>
</ds:datastoreItem>
</file>

<file path=customXml/itemProps2.xml><?xml version="1.0" encoding="utf-8"?>
<ds:datastoreItem xmlns:ds="http://schemas.openxmlformats.org/officeDocument/2006/customXml" ds:itemID="{9DDBC081-208A-40CA-B202-3E690401F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CB49A-B54D-40FD-B1D8-708D95F36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b401-02f1-4e72-a7f4-254a04188f7c"/>
    <ds:schemaRef ds:uri="955c92a2-ec27-403e-862c-d2c4f2cbd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41FFF-4E4F-4D2B-93D3-3D8E218C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Annual_Return_2016</Template>
  <TotalTime>2</TotalTime>
  <Pages>1</Pages>
  <Words>402</Words>
  <Characters>2156</Characters>
  <Application>Microsoft Office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WAO</Company>
  <LinksUpToDate>false</LinksUpToDate>
  <CharactersWithSpaces>2515</CharactersWithSpaces>
  <SharedDoc>false</SharedDoc>
  <HLinks>
    <vt:vector size="6" baseType="variant">
      <vt:variant>
        <vt:i4>65621</vt:i4>
      </vt:variant>
      <vt:variant>
        <vt:i4>537</vt:i4>
      </vt:variant>
      <vt:variant>
        <vt:i4>0</vt:i4>
      </vt:variant>
      <vt:variant>
        <vt:i4>5</vt:i4>
      </vt:variant>
      <vt:variant>
        <vt:lpwstr>http://www.audit.wales/good-practice/finance/community-council-money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Perfect</dc:creator>
  <cp:keywords>Interim; ad hoc</cp:keywords>
  <cp:lastModifiedBy>Margaret Roberts</cp:lastModifiedBy>
  <cp:revision>3</cp:revision>
  <cp:lastPrinted>2025-03-13T15:26:00Z</cp:lastPrinted>
  <dcterms:created xsi:type="dcterms:W3CDTF">2025-10-05T14:12:00Z</dcterms:created>
  <dcterms:modified xsi:type="dcterms:W3CDTF">2025-10-05T14:12:00Z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0x010100AA56ABD445518A43B3AC9E2170FDF38C</vt:lpwstr>
  </property>
  <property fmtid="{D5CDD505-2E9C-101B-9397-08002B2CF9AE}" pid="3" name="MediaServiceImageTags">
    <vt:lpwstr/>
  </property>
</Properties>
</file>